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38F2C" w14:textId="4F011C05" w:rsidR="00E405BB" w:rsidRDefault="00E405BB">
      <w:pPr>
        <w:jc w:val="both"/>
        <w:rPr>
          <w:rFonts w:ascii="Georgia" w:eastAsia="Georgia" w:hAnsi="Georgia" w:cs="Georgia"/>
          <w:i/>
          <w:sz w:val="32"/>
          <w:szCs w:val="32"/>
        </w:rPr>
      </w:pPr>
      <w:r>
        <w:rPr>
          <w:noProof/>
        </w:rPr>
        <w:drawing>
          <wp:anchor distT="45720" distB="45720" distL="114300" distR="114300" simplePos="0" relativeHeight="251659264" behindDoc="0" locked="0" layoutInCell="1" hidden="0" allowOverlap="1" wp14:anchorId="75A0608C" wp14:editId="50C332A6">
            <wp:simplePos x="0" y="0"/>
            <wp:positionH relativeFrom="column">
              <wp:posOffset>-903605</wp:posOffset>
            </wp:positionH>
            <wp:positionV relativeFrom="paragraph">
              <wp:posOffset>-902010</wp:posOffset>
            </wp:positionV>
            <wp:extent cx="8262257" cy="1524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262257" cy="1524000"/>
                    </a:xfrm>
                    <a:prstGeom prst="rect">
                      <a:avLst/>
                    </a:prstGeom>
                    <a:ln/>
                  </pic:spPr>
                </pic:pic>
              </a:graphicData>
            </a:graphic>
          </wp:anchor>
        </w:drawing>
      </w:r>
    </w:p>
    <w:p w14:paraId="198E6B50" w14:textId="77777777" w:rsidR="00E405BB" w:rsidRDefault="00E405BB">
      <w:pPr>
        <w:jc w:val="both"/>
        <w:rPr>
          <w:rFonts w:ascii="Georgia" w:eastAsia="Georgia" w:hAnsi="Georgia" w:cs="Georgia"/>
          <w:i/>
          <w:sz w:val="32"/>
          <w:szCs w:val="32"/>
        </w:rPr>
      </w:pPr>
    </w:p>
    <w:p w14:paraId="29F03CF3" w14:textId="77777777" w:rsidR="00E405BB" w:rsidRDefault="00E405BB">
      <w:pPr>
        <w:jc w:val="both"/>
        <w:rPr>
          <w:rFonts w:ascii="Georgia" w:eastAsia="Georgia" w:hAnsi="Georgia" w:cs="Georgia"/>
          <w:i/>
          <w:sz w:val="32"/>
          <w:szCs w:val="32"/>
        </w:rPr>
      </w:pPr>
    </w:p>
    <w:p w14:paraId="405ADE51" w14:textId="5CDABFE8" w:rsidR="00E405BB" w:rsidRDefault="00E405BB">
      <w:pPr>
        <w:jc w:val="both"/>
        <w:rPr>
          <w:rFonts w:ascii="Georgia" w:eastAsia="Georgia" w:hAnsi="Georgia" w:cs="Georgia"/>
          <w:i/>
          <w:sz w:val="32"/>
          <w:szCs w:val="32"/>
        </w:rPr>
      </w:pPr>
    </w:p>
    <w:p w14:paraId="71A637EC" w14:textId="77777777" w:rsidR="00E405BB" w:rsidRPr="00E405BB" w:rsidRDefault="00E405BB" w:rsidP="00E405BB">
      <w:pPr>
        <w:jc w:val="center"/>
        <w:rPr>
          <w:rFonts w:ascii="Georgia" w:eastAsia="Georgia" w:hAnsi="Georgia" w:cs="Georgia"/>
          <w:b/>
          <w:i/>
          <w:color w:val="3366FF"/>
          <w:sz w:val="32"/>
          <w:szCs w:val="32"/>
        </w:rPr>
      </w:pPr>
      <w:r w:rsidRPr="00E405BB">
        <w:rPr>
          <w:rFonts w:ascii="Georgia" w:eastAsia="Georgia" w:hAnsi="Georgia" w:cs="Georgia"/>
          <w:b/>
          <w:i/>
          <w:color w:val="3366FF"/>
          <w:sz w:val="32"/>
          <w:szCs w:val="32"/>
        </w:rPr>
        <w:t>Teacher Education in Nebraska: Recommendations</w:t>
      </w:r>
    </w:p>
    <w:p w14:paraId="4B5C9E7B" w14:textId="77777777" w:rsidR="00E405BB" w:rsidRPr="00E405BB" w:rsidRDefault="00E405BB" w:rsidP="00E405BB">
      <w:pPr>
        <w:jc w:val="center"/>
        <w:rPr>
          <w:rFonts w:ascii="Georgia" w:eastAsia="Georgia" w:hAnsi="Georgia" w:cs="Georgia"/>
          <w:b/>
          <w:i/>
          <w:color w:val="3366FF"/>
          <w:sz w:val="32"/>
          <w:szCs w:val="32"/>
        </w:rPr>
      </w:pPr>
      <w:r w:rsidRPr="00E405BB">
        <w:rPr>
          <w:rFonts w:ascii="Georgia" w:eastAsia="Georgia" w:hAnsi="Georgia" w:cs="Georgia"/>
          <w:b/>
          <w:i/>
          <w:color w:val="3366FF"/>
          <w:sz w:val="32"/>
          <w:szCs w:val="32"/>
        </w:rPr>
        <w:t>November 2020</w:t>
      </w:r>
    </w:p>
    <w:p w14:paraId="00000003" w14:textId="77777777" w:rsidR="00C1327D" w:rsidRDefault="00C1327D">
      <w:pPr>
        <w:jc w:val="both"/>
        <w:rPr>
          <w:rFonts w:ascii="Georgia" w:eastAsia="Georgia" w:hAnsi="Georgia" w:cs="Georgia"/>
        </w:rPr>
      </w:pPr>
    </w:p>
    <w:p w14:paraId="5D4A381E" w14:textId="77777777" w:rsidR="00E405BB" w:rsidRDefault="00E405BB" w:rsidP="00E405BB">
      <w:pPr>
        <w:jc w:val="center"/>
        <w:rPr>
          <w:rFonts w:ascii="Georgia" w:eastAsia="Georgia" w:hAnsi="Georgia" w:cs="Georgia"/>
          <w:b/>
          <w:i/>
          <w:color w:val="3366FF"/>
        </w:rPr>
      </w:pPr>
      <w:r>
        <w:rPr>
          <w:rFonts w:ascii="Georgia" w:eastAsia="Georgia" w:hAnsi="Georgia" w:cs="Georgia"/>
          <w:b/>
          <w:i/>
          <w:color w:val="3366FF"/>
        </w:rPr>
        <w:t>Introduction</w:t>
      </w:r>
    </w:p>
    <w:p w14:paraId="4D510A81" w14:textId="77777777" w:rsidR="00E405BB" w:rsidRDefault="00E405BB">
      <w:pPr>
        <w:jc w:val="both"/>
        <w:rPr>
          <w:rFonts w:ascii="Georgia" w:eastAsia="Georgia" w:hAnsi="Georgia" w:cs="Georgia"/>
          <w:i/>
        </w:rPr>
      </w:pPr>
    </w:p>
    <w:p w14:paraId="00000004" w14:textId="3F213050" w:rsidR="00C1327D" w:rsidRDefault="00B65CB4">
      <w:pPr>
        <w:jc w:val="both"/>
        <w:rPr>
          <w:rFonts w:ascii="Georgia" w:eastAsia="Georgia" w:hAnsi="Georgia" w:cs="Georgia"/>
          <w:i/>
        </w:rPr>
      </w:pPr>
      <w:r>
        <w:rPr>
          <w:rFonts w:ascii="Georgia" w:eastAsia="Georgia" w:hAnsi="Georgia" w:cs="Georgia"/>
          <w:i/>
        </w:rPr>
        <w:t xml:space="preserve">Based on a review of all teacher education programs in Nebraska, their accreditation status, admissions policies, program requirements, </w:t>
      </w:r>
      <w:r w:rsidR="00902733">
        <w:rPr>
          <w:rFonts w:ascii="Georgia" w:eastAsia="Georgia" w:hAnsi="Georgia" w:cs="Georgia"/>
          <w:i/>
        </w:rPr>
        <w:t xml:space="preserve">clinical practice requirements, </w:t>
      </w:r>
      <w:r>
        <w:rPr>
          <w:rFonts w:ascii="Georgia" w:eastAsia="Georgia" w:hAnsi="Georgia" w:cs="Georgia"/>
          <w:i/>
        </w:rPr>
        <w:t xml:space="preserve">competency guidelines, alternative pathways to teacher certification, </w:t>
      </w:r>
      <w:r w:rsidR="00902733">
        <w:rPr>
          <w:rFonts w:ascii="Georgia" w:eastAsia="Georgia" w:hAnsi="Georgia" w:cs="Georgia"/>
          <w:i/>
        </w:rPr>
        <w:t xml:space="preserve">and district partnerships </w:t>
      </w:r>
      <w:r>
        <w:rPr>
          <w:rFonts w:ascii="Georgia" w:eastAsia="Georgia" w:hAnsi="Georgia" w:cs="Georgia"/>
          <w:i/>
        </w:rPr>
        <w:t>the Johns Hopkins Institute for Education Policy (“Institute”)</w:t>
      </w:r>
      <w:r w:rsidR="00902733">
        <w:rPr>
          <w:rFonts w:ascii="Georgia" w:eastAsia="Georgia" w:hAnsi="Georgia" w:cs="Georgia"/>
          <w:i/>
        </w:rPr>
        <w:t>, drawing from national best practices,</w:t>
      </w:r>
      <w:r w:rsidR="00B5300B">
        <w:rPr>
          <w:rStyle w:val="FootnoteReference"/>
          <w:rFonts w:ascii="Georgia" w:eastAsia="Georgia" w:hAnsi="Georgia" w:cs="Georgia"/>
          <w:i/>
        </w:rPr>
        <w:footnoteReference w:id="1"/>
      </w:r>
      <w:r w:rsidR="00902733">
        <w:rPr>
          <w:rFonts w:ascii="Georgia" w:eastAsia="Georgia" w:hAnsi="Georgia" w:cs="Georgia"/>
          <w:i/>
        </w:rPr>
        <w:t xml:space="preserve"> </w:t>
      </w:r>
      <w:r>
        <w:rPr>
          <w:rFonts w:ascii="Georgia" w:eastAsia="Georgia" w:hAnsi="Georgia" w:cs="Georgia"/>
          <w:i/>
        </w:rPr>
        <w:t>makes the following recommendations.</w:t>
      </w:r>
    </w:p>
    <w:p w14:paraId="00000005" w14:textId="1D53D8FE" w:rsidR="00C1327D" w:rsidRDefault="00C1327D">
      <w:pPr>
        <w:jc w:val="both"/>
        <w:rPr>
          <w:rFonts w:ascii="Georgia" w:eastAsia="Georgia" w:hAnsi="Georgia" w:cs="Georgia"/>
        </w:rPr>
      </w:pPr>
    </w:p>
    <w:p w14:paraId="1A380DAB" w14:textId="7F7C4F60" w:rsidR="00E405BB" w:rsidRDefault="00E405BB" w:rsidP="00E405BB">
      <w:pPr>
        <w:jc w:val="center"/>
        <w:rPr>
          <w:rFonts w:ascii="Georgia" w:eastAsia="Georgia" w:hAnsi="Georgia" w:cs="Georgia"/>
          <w:b/>
          <w:i/>
          <w:color w:val="3366FF"/>
        </w:rPr>
      </w:pPr>
      <w:r>
        <w:rPr>
          <w:rFonts w:ascii="Georgia" w:eastAsia="Georgia" w:hAnsi="Georgia" w:cs="Georgia"/>
          <w:b/>
          <w:i/>
          <w:color w:val="3366FF"/>
        </w:rPr>
        <w:t>Accreditation</w:t>
      </w:r>
    </w:p>
    <w:p w14:paraId="34B8378E" w14:textId="77777777" w:rsidR="00E405BB" w:rsidRDefault="00E405BB">
      <w:pPr>
        <w:jc w:val="both"/>
        <w:rPr>
          <w:rFonts w:ascii="Georgia" w:eastAsia="Georgia" w:hAnsi="Georgia" w:cs="Georgia"/>
        </w:rPr>
      </w:pPr>
    </w:p>
    <w:p w14:paraId="00000006" w14:textId="7DE2C56F" w:rsidR="00C1327D" w:rsidRDefault="00B65CB4">
      <w:pPr>
        <w:jc w:val="both"/>
        <w:rPr>
          <w:rFonts w:ascii="Georgia" w:eastAsia="Georgia" w:hAnsi="Georgia" w:cs="Georgia"/>
        </w:rPr>
      </w:pPr>
      <w:r>
        <w:rPr>
          <w:rFonts w:ascii="Georgia" w:eastAsia="Georgia" w:hAnsi="Georgia" w:cs="Georgia"/>
        </w:rPr>
        <w:t xml:space="preserve">Currently, all 15 </w:t>
      </w:r>
      <w:r w:rsidR="0049187C">
        <w:rPr>
          <w:rFonts w:ascii="Georgia" w:eastAsia="Georgia" w:hAnsi="Georgia" w:cs="Georgia"/>
        </w:rPr>
        <w:t xml:space="preserve">of Nebraska’s teacher preparation </w:t>
      </w:r>
      <w:r>
        <w:rPr>
          <w:rFonts w:ascii="Georgia" w:eastAsia="Georgia" w:hAnsi="Georgia" w:cs="Georgia"/>
        </w:rPr>
        <w:t xml:space="preserve">institutions are members of the Nebraska Association of Colleges of Teacher Education (NACTE) and are also represented on the Nebraska Council on Teacher Education (NCTE), an advisory body to the State Board of Education. </w:t>
      </w:r>
      <w:r w:rsidR="0049187C">
        <w:rPr>
          <w:rFonts w:ascii="Georgia" w:eastAsia="Georgia" w:hAnsi="Georgia" w:cs="Georgia"/>
        </w:rPr>
        <w:t>Thirteen</w:t>
      </w:r>
      <w:r>
        <w:rPr>
          <w:rFonts w:ascii="Georgia" w:eastAsia="Georgia" w:hAnsi="Georgia" w:cs="Georgia"/>
        </w:rPr>
        <w:t xml:space="preserve"> institutions are accredited by CAEP (NCATE). The exceptions</w:t>
      </w:r>
      <w:r w:rsidR="0049187C">
        <w:rPr>
          <w:rFonts w:ascii="Georgia" w:eastAsia="Georgia" w:hAnsi="Georgia" w:cs="Georgia"/>
        </w:rPr>
        <w:t xml:space="preserve"> are the</w:t>
      </w:r>
      <w:r>
        <w:rPr>
          <w:rFonts w:ascii="Georgia" w:eastAsia="Georgia" w:hAnsi="Georgia" w:cs="Georgia"/>
        </w:rPr>
        <w:t xml:space="preserve"> College of St. Mary and Midland University, which are accredited by the Higher Learning Commission and approved for teacher education by the Nebraska Department of Education and the Nebraska State Board of Education, respectively.</w:t>
      </w:r>
    </w:p>
    <w:p w14:paraId="00000007" w14:textId="77777777" w:rsidR="00C1327D" w:rsidRDefault="00C1327D">
      <w:pPr>
        <w:jc w:val="both"/>
        <w:rPr>
          <w:rFonts w:ascii="Georgia" w:eastAsia="Georgia" w:hAnsi="Georgia" w:cs="Georgia"/>
        </w:rPr>
      </w:pPr>
    </w:p>
    <w:p w14:paraId="00000008" w14:textId="0017BD51" w:rsidR="00C1327D" w:rsidRDefault="00B65CB4">
      <w:pPr>
        <w:numPr>
          <w:ilvl w:val="0"/>
          <w:numId w:val="1"/>
        </w:numPr>
        <w:jc w:val="both"/>
        <w:rPr>
          <w:rFonts w:ascii="Georgia" w:eastAsia="Georgia" w:hAnsi="Georgia" w:cs="Georgia"/>
        </w:rPr>
      </w:pPr>
      <w:r>
        <w:rPr>
          <w:rFonts w:ascii="Georgia" w:eastAsia="Georgia" w:hAnsi="Georgia" w:cs="Georgia"/>
          <w:i/>
        </w:rPr>
        <w:t>Recommendation</w:t>
      </w:r>
      <w:r w:rsidRPr="00C03453">
        <w:rPr>
          <w:rFonts w:ascii="Georgia" w:eastAsia="Georgia" w:hAnsi="Georgia" w:cs="Georgia"/>
          <w:iCs/>
        </w:rPr>
        <w:t>:</w:t>
      </w:r>
      <w:r w:rsidR="003C4473" w:rsidRPr="00C03453">
        <w:rPr>
          <w:rFonts w:ascii="Georgia" w:eastAsia="Georgia" w:hAnsi="Georgia" w:cs="Georgia"/>
          <w:iCs/>
        </w:rPr>
        <w:t xml:space="preserve"> </w:t>
      </w:r>
      <w:r w:rsidR="00C03453">
        <w:rPr>
          <w:rFonts w:ascii="Georgia" w:eastAsia="Georgia" w:hAnsi="Georgia" w:cs="Georgia"/>
          <w:iCs/>
        </w:rPr>
        <w:t xml:space="preserve">In my judgment, the CAEP standards should be the starting point – the gateway - for the Nebraska model, not the end point. Once the Department has finalized </w:t>
      </w:r>
      <w:r w:rsidR="00C03453">
        <w:rPr>
          <w:rFonts w:ascii="Georgia" w:eastAsia="Georgia" w:hAnsi="Georgia" w:cs="Georgia"/>
        </w:rPr>
        <w:t>its work, their rubrics, visiting protocols and standards should be used universally in the state of Nebraska for all teacher preparation programs.</w:t>
      </w:r>
    </w:p>
    <w:p w14:paraId="735B5DA9" w14:textId="13250DC4" w:rsidR="00E405BB" w:rsidRDefault="00E405BB" w:rsidP="00E405BB">
      <w:pPr>
        <w:jc w:val="both"/>
        <w:rPr>
          <w:rFonts w:ascii="Georgia" w:eastAsia="Georgia" w:hAnsi="Georgia" w:cs="Georgia"/>
        </w:rPr>
      </w:pPr>
    </w:p>
    <w:p w14:paraId="4CC8EF86" w14:textId="27B15FC3" w:rsidR="00E405BB" w:rsidRDefault="00E405BB" w:rsidP="00E405BB">
      <w:pPr>
        <w:jc w:val="center"/>
        <w:rPr>
          <w:rFonts w:ascii="Georgia" w:eastAsia="Georgia" w:hAnsi="Georgia" w:cs="Georgia"/>
          <w:b/>
          <w:i/>
          <w:color w:val="3366FF"/>
        </w:rPr>
      </w:pPr>
      <w:r>
        <w:rPr>
          <w:rFonts w:ascii="Georgia" w:eastAsia="Georgia" w:hAnsi="Georgia" w:cs="Georgia"/>
          <w:b/>
          <w:i/>
          <w:color w:val="3366FF"/>
        </w:rPr>
        <w:t>Program Admissions — GPA (Undergraduate)</w:t>
      </w:r>
    </w:p>
    <w:p w14:paraId="00000009" w14:textId="77777777" w:rsidR="00C1327D" w:rsidRDefault="00C1327D">
      <w:pPr>
        <w:jc w:val="both"/>
        <w:rPr>
          <w:rFonts w:ascii="Georgia" w:eastAsia="Georgia" w:hAnsi="Georgia" w:cs="Georgia"/>
        </w:rPr>
      </w:pPr>
    </w:p>
    <w:p w14:paraId="0000000A" w14:textId="4F43FC2E" w:rsidR="00C1327D" w:rsidRDefault="00B65CB4">
      <w:pPr>
        <w:jc w:val="both"/>
        <w:rPr>
          <w:rFonts w:ascii="Georgia" w:eastAsia="Georgia" w:hAnsi="Georgia" w:cs="Georgia"/>
        </w:rPr>
      </w:pPr>
      <w:r>
        <w:rPr>
          <w:rFonts w:ascii="Georgia" w:eastAsia="Georgia" w:hAnsi="Georgia" w:cs="Georgia"/>
        </w:rPr>
        <w:t xml:space="preserve">Nebraska requires a minimum GPA of 2.5 for admission, and a minimum of 2.75 for admission to student teaching. </w:t>
      </w:r>
      <w:r w:rsidR="0049187C">
        <w:rPr>
          <w:rFonts w:ascii="Georgia" w:eastAsia="Georgia" w:hAnsi="Georgia" w:cs="Georgia"/>
        </w:rPr>
        <w:t>Almost all</w:t>
      </w:r>
      <w:r>
        <w:rPr>
          <w:rFonts w:ascii="Georgia" w:eastAsia="Georgia" w:hAnsi="Georgia" w:cs="Georgia"/>
        </w:rPr>
        <w:t xml:space="preserve"> schools </w:t>
      </w:r>
      <w:r w:rsidR="0049187C">
        <w:rPr>
          <w:rFonts w:ascii="Georgia" w:eastAsia="Georgia" w:hAnsi="Georgia" w:cs="Georgia"/>
        </w:rPr>
        <w:t xml:space="preserve">(11 out of 15) </w:t>
      </w:r>
      <w:r>
        <w:rPr>
          <w:rFonts w:ascii="Georgia" w:eastAsia="Georgia" w:hAnsi="Georgia" w:cs="Georgia"/>
        </w:rPr>
        <w:t>require a minimum GPA that is higher than 2.5 for admission. The median GPA of admitted students is often much higher than 2.5</w:t>
      </w:r>
      <w:r w:rsidR="0049187C">
        <w:rPr>
          <w:rFonts w:ascii="Georgia" w:eastAsia="Georgia" w:hAnsi="Georgia" w:cs="Georgia"/>
        </w:rPr>
        <w:t xml:space="preserve">, i.e., can be </w:t>
      </w:r>
      <w:r>
        <w:rPr>
          <w:rFonts w:ascii="Georgia" w:eastAsia="Georgia" w:hAnsi="Georgia" w:cs="Georgia"/>
        </w:rPr>
        <w:t>in the mid</w:t>
      </w:r>
      <w:r w:rsidR="0049187C">
        <w:rPr>
          <w:rFonts w:ascii="Georgia" w:eastAsia="Georgia" w:hAnsi="Georgia" w:cs="Georgia"/>
        </w:rPr>
        <w:t>-</w:t>
      </w:r>
      <w:r>
        <w:rPr>
          <w:rFonts w:ascii="Georgia" w:eastAsia="Georgia" w:hAnsi="Georgia" w:cs="Georgia"/>
        </w:rPr>
        <w:t>3</w:t>
      </w:r>
      <w:r w:rsidR="0049187C">
        <w:rPr>
          <w:rFonts w:ascii="Georgia" w:eastAsia="Georgia" w:hAnsi="Georgia" w:cs="Georgia"/>
        </w:rPr>
        <w:t>.0’</w:t>
      </w:r>
      <w:r>
        <w:rPr>
          <w:rFonts w:ascii="Georgia" w:eastAsia="Georgia" w:hAnsi="Georgia" w:cs="Georgia"/>
        </w:rPr>
        <w:t xml:space="preserve">s. </w:t>
      </w:r>
    </w:p>
    <w:p w14:paraId="0000000B" w14:textId="77777777" w:rsidR="00C1327D" w:rsidRDefault="00C1327D">
      <w:pPr>
        <w:jc w:val="both"/>
        <w:rPr>
          <w:rFonts w:ascii="Georgia" w:eastAsia="Georgia" w:hAnsi="Georgia" w:cs="Georgia"/>
        </w:rPr>
      </w:pPr>
    </w:p>
    <w:p w14:paraId="0000000C" w14:textId="3EFA5154" w:rsidR="00C1327D" w:rsidRDefault="00B65CB4">
      <w:pPr>
        <w:numPr>
          <w:ilvl w:val="0"/>
          <w:numId w:val="9"/>
        </w:numPr>
        <w:jc w:val="both"/>
        <w:rPr>
          <w:rFonts w:ascii="Georgia" w:eastAsia="Georgia" w:hAnsi="Georgia" w:cs="Georgia"/>
        </w:rPr>
      </w:pPr>
      <w:r>
        <w:rPr>
          <w:rFonts w:ascii="Georgia" w:eastAsia="Georgia" w:hAnsi="Georgia" w:cs="Georgia"/>
          <w:i/>
        </w:rPr>
        <w:t>Recommendation:</w:t>
      </w:r>
      <w:r>
        <w:rPr>
          <w:rFonts w:ascii="Georgia" w:eastAsia="Georgia" w:hAnsi="Georgia" w:cs="Georgia"/>
        </w:rPr>
        <w:t xml:space="preserve"> To reflect the standards of other high-performing states, the Institute recommends a state-wide minimum GPA of 2.75 for admission to </w:t>
      </w:r>
      <w:r>
        <w:rPr>
          <w:rFonts w:ascii="Georgia" w:eastAsia="Georgia" w:hAnsi="Georgia" w:cs="Georgia"/>
        </w:rPr>
        <w:lastRenderedPageBreak/>
        <w:t>undergraduate programs in teacher education</w:t>
      </w:r>
      <w:r w:rsidR="0049187C">
        <w:rPr>
          <w:rFonts w:ascii="Georgia" w:eastAsia="Georgia" w:hAnsi="Georgia" w:cs="Georgia"/>
        </w:rPr>
        <w:t>.</w:t>
      </w:r>
      <w:r w:rsidR="008A6045">
        <w:rPr>
          <w:rStyle w:val="FootnoteReference"/>
          <w:rFonts w:ascii="Georgia" w:eastAsia="Georgia" w:hAnsi="Georgia" w:cs="Georgia"/>
        </w:rPr>
        <w:footnoteReference w:id="2"/>
      </w:r>
      <w:r w:rsidR="00172F33">
        <w:rPr>
          <w:rFonts w:ascii="Georgia" w:eastAsia="Georgia" w:hAnsi="Georgia" w:cs="Georgia"/>
        </w:rPr>
        <w:t xml:space="preserve"> There should be a 10% “set-aside” whereby any teacher preparation program can reserve 10% of its admissions for candidates with lower GPAs that show special merit in other regards.</w:t>
      </w:r>
      <w:r w:rsidR="00E00855">
        <w:rPr>
          <w:rStyle w:val="FootnoteReference"/>
          <w:rFonts w:ascii="Georgia" w:eastAsia="Georgia" w:hAnsi="Georgia" w:cs="Georgia"/>
        </w:rPr>
        <w:footnoteReference w:id="3"/>
      </w:r>
      <w:r w:rsidR="00172F33">
        <w:rPr>
          <w:rFonts w:ascii="Georgia" w:eastAsia="Georgia" w:hAnsi="Georgia" w:cs="Georgia"/>
        </w:rPr>
        <w:t xml:space="preserve"> </w:t>
      </w:r>
    </w:p>
    <w:p w14:paraId="0000000D" w14:textId="77777777" w:rsidR="00C1327D" w:rsidRDefault="00C1327D">
      <w:pPr>
        <w:jc w:val="both"/>
        <w:rPr>
          <w:rFonts w:ascii="Georgia" w:eastAsia="Georgia" w:hAnsi="Georgia" w:cs="Georgia"/>
        </w:rPr>
      </w:pPr>
    </w:p>
    <w:p w14:paraId="29264BD6" w14:textId="344F3640" w:rsidR="00E405BB" w:rsidRDefault="00E405BB" w:rsidP="00E405BB">
      <w:pPr>
        <w:jc w:val="center"/>
        <w:rPr>
          <w:rFonts w:ascii="Georgia" w:eastAsia="Georgia" w:hAnsi="Georgia" w:cs="Georgia"/>
          <w:b/>
          <w:i/>
          <w:color w:val="3366FF"/>
        </w:rPr>
      </w:pPr>
      <w:r>
        <w:rPr>
          <w:rFonts w:ascii="Georgia" w:eastAsia="Georgia" w:hAnsi="Georgia" w:cs="Georgia"/>
          <w:b/>
          <w:i/>
          <w:color w:val="3366FF"/>
        </w:rPr>
        <w:t>Program Admissions — GPA (Graduate)</w:t>
      </w:r>
    </w:p>
    <w:p w14:paraId="29D5A0B5" w14:textId="77777777" w:rsidR="00E405BB" w:rsidRDefault="00E405BB">
      <w:pPr>
        <w:jc w:val="both"/>
        <w:rPr>
          <w:rFonts w:ascii="Georgia" w:eastAsia="Georgia" w:hAnsi="Georgia" w:cs="Georgia"/>
        </w:rPr>
      </w:pPr>
    </w:p>
    <w:p w14:paraId="0000000E" w14:textId="60749B81" w:rsidR="00C1327D" w:rsidRDefault="00B65CB4">
      <w:pPr>
        <w:jc w:val="both"/>
        <w:rPr>
          <w:rFonts w:ascii="Georgia" w:eastAsia="Georgia" w:hAnsi="Georgia" w:cs="Georgia"/>
        </w:rPr>
      </w:pPr>
      <w:r>
        <w:rPr>
          <w:rFonts w:ascii="Georgia" w:eastAsia="Georgia" w:hAnsi="Georgia" w:cs="Georgia"/>
        </w:rPr>
        <w:t>Seven institutions also offer graduate degrees</w:t>
      </w:r>
      <w:r w:rsidR="0049187C">
        <w:rPr>
          <w:rFonts w:ascii="Georgia" w:eastAsia="Georgia" w:hAnsi="Georgia" w:cs="Georgia"/>
        </w:rPr>
        <w:t xml:space="preserve">, all of which </w:t>
      </w:r>
      <w:r>
        <w:rPr>
          <w:rFonts w:ascii="Georgia" w:eastAsia="Georgia" w:hAnsi="Georgia" w:cs="Georgia"/>
        </w:rPr>
        <w:t>have similar GPA requirements</w:t>
      </w:r>
      <w:r w:rsidR="0049187C">
        <w:rPr>
          <w:rFonts w:ascii="Georgia" w:eastAsia="Georgia" w:hAnsi="Georgia" w:cs="Georgia"/>
        </w:rPr>
        <w:t xml:space="preserve"> to one another that </w:t>
      </w:r>
      <w:r>
        <w:rPr>
          <w:rFonts w:ascii="Georgia" w:eastAsia="Georgia" w:hAnsi="Georgia" w:cs="Georgia"/>
        </w:rPr>
        <w:t>rang</w:t>
      </w:r>
      <w:r w:rsidR="0049187C">
        <w:rPr>
          <w:rFonts w:ascii="Georgia" w:eastAsia="Georgia" w:hAnsi="Georgia" w:cs="Georgia"/>
        </w:rPr>
        <w:t>e</w:t>
      </w:r>
      <w:r>
        <w:rPr>
          <w:rFonts w:ascii="Georgia" w:eastAsia="Georgia" w:hAnsi="Georgia" w:cs="Georgia"/>
        </w:rPr>
        <w:t xml:space="preserve"> from 2.5 to 3</w:t>
      </w:r>
      <w:r w:rsidR="0049187C">
        <w:rPr>
          <w:rFonts w:ascii="Georgia" w:eastAsia="Georgia" w:hAnsi="Georgia" w:cs="Georgia"/>
        </w:rPr>
        <w:t>.0</w:t>
      </w:r>
      <w:r>
        <w:rPr>
          <w:rFonts w:ascii="Georgia" w:eastAsia="Georgia" w:hAnsi="Georgia" w:cs="Georgia"/>
        </w:rPr>
        <w:t xml:space="preserve">. Median GPAs for accepted students range from 3.2 to 4.0, and all but two require a GPA of 3.0 for completion. </w:t>
      </w:r>
    </w:p>
    <w:p w14:paraId="0000000F" w14:textId="77777777" w:rsidR="00C1327D" w:rsidRDefault="00C1327D">
      <w:pPr>
        <w:jc w:val="both"/>
        <w:rPr>
          <w:rFonts w:ascii="Georgia" w:eastAsia="Georgia" w:hAnsi="Georgia" w:cs="Georgia"/>
        </w:rPr>
      </w:pPr>
    </w:p>
    <w:p w14:paraId="00000010" w14:textId="1D1E6D0A" w:rsidR="00C1327D" w:rsidRDefault="00B65CB4">
      <w:pPr>
        <w:numPr>
          <w:ilvl w:val="0"/>
          <w:numId w:val="5"/>
        </w:numPr>
        <w:jc w:val="both"/>
        <w:rPr>
          <w:rFonts w:ascii="Georgia" w:eastAsia="Georgia" w:hAnsi="Georgia" w:cs="Georgia"/>
        </w:rPr>
      </w:pPr>
      <w:r>
        <w:rPr>
          <w:rFonts w:ascii="Georgia" w:eastAsia="Georgia" w:hAnsi="Georgia" w:cs="Georgia"/>
          <w:i/>
        </w:rPr>
        <w:t xml:space="preserve">Recommendation: </w:t>
      </w:r>
      <w:r>
        <w:rPr>
          <w:rFonts w:ascii="Georgia" w:eastAsia="Georgia" w:hAnsi="Georgia" w:cs="Georgia"/>
        </w:rPr>
        <w:t>To reflect the standards of other high-performing states, the Institute recommends a state-wide minimum GPA of 2.75 for admission to graduate programs in teacher education.</w:t>
      </w:r>
      <w:r w:rsidR="00172F33">
        <w:rPr>
          <w:rFonts w:ascii="Georgia" w:eastAsia="Georgia" w:hAnsi="Georgia" w:cs="Georgia"/>
        </w:rPr>
        <w:t xml:space="preserve"> The same 10% “set-aside” provision should apply. </w:t>
      </w:r>
    </w:p>
    <w:p w14:paraId="6796961D" w14:textId="1709CBCD" w:rsidR="00E405BB" w:rsidRDefault="00E405BB" w:rsidP="00E405BB">
      <w:pPr>
        <w:jc w:val="both"/>
        <w:rPr>
          <w:rFonts w:ascii="Georgia" w:eastAsia="Georgia" w:hAnsi="Georgia" w:cs="Georgia"/>
        </w:rPr>
      </w:pPr>
    </w:p>
    <w:p w14:paraId="33F24C3C" w14:textId="1DE2FB68" w:rsidR="00E405BB" w:rsidRDefault="00E405BB" w:rsidP="00E405BB">
      <w:pPr>
        <w:jc w:val="center"/>
        <w:rPr>
          <w:rFonts w:ascii="Georgia" w:eastAsia="Georgia" w:hAnsi="Georgia" w:cs="Georgia"/>
          <w:b/>
          <w:i/>
          <w:color w:val="3366FF"/>
        </w:rPr>
      </w:pPr>
      <w:r>
        <w:rPr>
          <w:rFonts w:ascii="Georgia" w:eastAsia="Georgia" w:hAnsi="Georgia" w:cs="Georgia"/>
          <w:b/>
          <w:i/>
          <w:color w:val="3366FF"/>
        </w:rPr>
        <w:t>Program Admissions — Praxis CORE</w:t>
      </w:r>
    </w:p>
    <w:p w14:paraId="00000011" w14:textId="77777777" w:rsidR="00C1327D" w:rsidRDefault="00C1327D">
      <w:pPr>
        <w:jc w:val="both"/>
        <w:rPr>
          <w:rFonts w:ascii="Georgia" w:eastAsia="Georgia" w:hAnsi="Georgia" w:cs="Georgia"/>
          <w:i/>
        </w:rPr>
      </w:pPr>
    </w:p>
    <w:p w14:paraId="00000012" w14:textId="0DE0F25F" w:rsidR="00C1327D" w:rsidRDefault="00B65CB4">
      <w:pPr>
        <w:jc w:val="both"/>
        <w:rPr>
          <w:rFonts w:ascii="Georgia" w:eastAsia="Georgia" w:hAnsi="Georgia" w:cs="Georgia"/>
        </w:rPr>
      </w:pPr>
      <w:r>
        <w:rPr>
          <w:rFonts w:ascii="Georgia" w:eastAsia="Georgia" w:hAnsi="Georgia" w:cs="Georgia"/>
        </w:rPr>
        <w:t>A passing score on the Praxis CORE is required for formal admissions to all Nebraska teacher education programs.</w:t>
      </w:r>
    </w:p>
    <w:p w14:paraId="00000013" w14:textId="77777777" w:rsidR="00C1327D" w:rsidRDefault="00C1327D">
      <w:pPr>
        <w:jc w:val="both"/>
        <w:rPr>
          <w:rFonts w:ascii="Georgia" w:eastAsia="Georgia" w:hAnsi="Georgia" w:cs="Georgia"/>
        </w:rPr>
      </w:pPr>
    </w:p>
    <w:p w14:paraId="00000014" w14:textId="5AA3137A" w:rsidR="00C1327D" w:rsidRDefault="00B65CB4">
      <w:pPr>
        <w:numPr>
          <w:ilvl w:val="0"/>
          <w:numId w:val="3"/>
        </w:numPr>
        <w:jc w:val="both"/>
        <w:rPr>
          <w:rFonts w:ascii="Georgia" w:eastAsia="Georgia" w:hAnsi="Georgia" w:cs="Georgia"/>
        </w:rPr>
      </w:pPr>
      <w:r>
        <w:rPr>
          <w:rFonts w:ascii="Georgia" w:eastAsia="Georgia" w:hAnsi="Georgia" w:cs="Georgia"/>
          <w:i/>
        </w:rPr>
        <w:t xml:space="preserve">Recommendation: </w:t>
      </w:r>
      <w:r>
        <w:rPr>
          <w:rFonts w:ascii="Georgia" w:eastAsia="Georgia" w:hAnsi="Georgia" w:cs="Georgia"/>
        </w:rPr>
        <w:t xml:space="preserve">Admissions tests are controversial: (1) they are expensive to take — particularly for multiple-time test-takers; (2) basic pedagogical tests, including the Praxis CORE, </w:t>
      </w:r>
      <w:r w:rsidR="00C03453">
        <w:rPr>
          <w:rFonts w:ascii="Georgia" w:eastAsia="Georgia" w:hAnsi="Georgia" w:cs="Georgia"/>
        </w:rPr>
        <w:t xml:space="preserve">have not been shown to </w:t>
      </w:r>
      <w:r>
        <w:rPr>
          <w:rFonts w:ascii="Georgia" w:eastAsia="Georgia" w:hAnsi="Georgia" w:cs="Georgia"/>
        </w:rPr>
        <w:t xml:space="preserve">correlate </w:t>
      </w:r>
      <w:r w:rsidR="00331E77">
        <w:rPr>
          <w:rFonts w:ascii="Georgia" w:eastAsia="Georgia" w:hAnsi="Georgia" w:cs="Georgia"/>
        </w:rPr>
        <w:t xml:space="preserve">strongly </w:t>
      </w:r>
      <w:r>
        <w:rPr>
          <w:rFonts w:ascii="Georgia" w:eastAsia="Georgia" w:hAnsi="Georgia" w:cs="Georgia"/>
        </w:rPr>
        <w:t xml:space="preserve">with teaching effectiveness; and (3) they reproduce the inequality of prior access to strong education, thereby disadvantaging minority applicants at disproportionate levels. The Institute recommends that the Praxis CORE </w:t>
      </w:r>
      <w:r w:rsidRPr="008E7F1F">
        <w:rPr>
          <w:rFonts w:ascii="Georgia" w:eastAsia="Georgia" w:hAnsi="Georgia" w:cs="Georgia"/>
          <w:b/>
          <w:bCs/>
        </w:rPr>
        <w:t xml:space="preserve">not </w:t>
      </w:r>
      <w:r w:rsidR="00097563">
        <w:rPr>
          <w:rFonts w:ascii="Georgia" w:eastAsia="Georgia" w:hAnsi="Georgia" w:cs="Georgia"/>
        </w:rPr>
        <w:t>be used as an entrance exam</w:t>
      </w:r>
      <w:r w:rsidR="00331E77">
        <w:rPr>
          <w:rStyle w:val="FootnoteReference"/>
          <w:rFonts w:ascii="Georgia" w:eastAsia="Georgia" w:hAnsi="Georgia" w:cs="Georgia"/>
        </w:rPr>
        <w:footnoteReference w:id="4"/>
      </w:r>
      <w:r w:rsidR="00097563">
        <w:rPr>
          <w:rFonts w:ascii="Georgia" w:eastAsia="Georgia" w:hAnsi="Georgia" w:cs="Georgia"/>
        </w:rPr>
        <w:t>.</w:t>
      </w:r>
    </w:p>
    <w:p w14:paraId="7F320534" w14:textId="79E5CCD1" w:rsidR="00C03453" w:rsidRPr="00B24CE8" w:rsidRDefault="00C03453">
      <w:pPr>
        <w:numPr>
          <w:ilvl w:val="0"/>
          <w:numId w:val="3"/>
        </w:numPr>
        <w:jc w:val="both"/>
        <w:rPr>
          <w:rFonts w:ascii="Georgia" w:eastAsia="Georgia" w:hAnsi="Georgia" w:cs="Georgia"/>
        </w:rPr>
      </w:pPr>
      <w:r>
        <w:rPr>
          <w:rFonts w:ascii="Georgia" w:eastAsia="Georgia" w:hAnsi="Georgia" w:cs="Georgia"/>
          <w:iCs/>
        </w:rPr>
        <w:t xml:space="preserve">If the Department wishes to propose a competency alternative to the Praxis Core, that competency has to be piloted and a passing score equated with stronger teaching outcomes during the practicum experience. </w:t>
      </w:r>
    </w:p>
    <w:p w14:paraId="7FEF680E" w14:textId="2EC2D1FD" w:rsidR="00B24CE8" w:rsidRDefault="00B24CE8">
      <w:pPr>
        <w:numPr>
          <w:ilvl w:val="0"/>
          <w:numId w:val="3"/>
        </w:numPr>
        <w:jc w:val="both"/>
        <w:rPr>
          <w:rFonts w:ascii="Georgia" w:eastAsia="Georgia" w:hAnsi="Georgia" w:cs="Georgia"/>
        </w:rPr>
      </w:pPr>
      <w:r>
        <w:rPr>
          <w:rFonts w:ascii="Georgia" w:eastAsia="Georgia" w:hAnsi="Georgia" w:cs="Georgia"/>
          <w:iCs/>
        </w:rPr>
        <w:lastRenderedPageBreak/>
        <w:t xml:space="preserve">Research: </w:t>
      </w:r>
      <w:r w:rsidR="00331E77">
        <w:rPr>
          <w:rFonts w:ascii="Georgia" w:eastAsia="Georgia" w:hAnsi="Georgia" w:cs="Georgia"/>
          <w:iCs/>
        </w:rPr>
        <w:t>T</w:t>
      </w:r>
      <w:r>
        <w:rPr>
          <w:rFonts w:ascii="Georgia" w:eastAsia="Georgia" w:hAnsi="Georgia" w:cs="Georgia"/>
          <w:iCs/>
        </w:rPr>
        <w:t xml:space="preserve">he literature on the relationship between teacher tests – of basic skills and content knowledge – is considerable. The best data suggests that content knowledge does correlate with stronger teaching performance, especially in the case of minority candidates – see Dan Goldhaber’s research </w:t>
      </w:r>
      <w:hyperlink r:id="rId11" w:history="1">
        <w:r w:rsidRPr="00B24CE8">
          <w:rPr>
            <w:rStyle w:val="Hyperlink"/>
            <w:rFonts w:ascii="Georgia" w:eastAsia="Georgia" w:hAnsi="Georgia" w:cs="Georgia"/>
            <w:iCs/>
          </w:rPr>
          <w:t>here</w:t>
        </w:r>
      </w:hyperlink>
      <w:r>
        <w:rPr>
          <w:rFonts w:ascii="Georgia" w:eastAsia="Georgia" w:hAnsi="Georgia" w:cs="Georgia"/>
          <w:iCs/>
        </w:rPr>
        <w:t>.</w:t>
      </w:r>
      <w:r w:rsidR="00034EB2">
        <w:rPr>
          <w:rStyle w:val="FootnoteReference"/>
          <w:rFonts w:ascii="Georgia" w:eastAsia="Georgia" w:hAnsi="Georgia" w:cs="Georgia"/>
          <w:iCs/>
        </w:rPr>
        <w:footnoteReference w:id="5"/>
      </w:r>
    </w:p>
    <w:p w14:paraId="00000015" w14:textId="7A3A254C" w:rsidR="00C1327D" w:rsidRDefault="00C1327D">
      <w:pPr>
        <w:jc w:val="both"/>
        <w:rPr>
          <w:rFonts w:ascii="Georgia" w:eastAsia="Georgia" w:hAnsi="Georgia" w:cs="Georgia"/>
        </w:rPr>
      </w:pPr>
    </w:p>
    <w:p w14:paraId="7FAEBC4E" w14:textId="77777777" w:rsidR="00C03453" w:rsidRDefault="00C03453" w:rsidP="00E405BB">
      <w:pPr>
        <w:jc w:val="center"/>
        <w:rPr>
          <w:rFonts w:ascii="Georgia" w:eastAsia="Georgia" w:hAnsi="Georgia" w:cs="Georgia"/>
          <w:b/>
          <w:i/>
          <w:color w:val="3366FF"/>
        </w:rPr>
      </w:pPr>
    </w:p>
    <w:p w14:paraId="45F2A3F8" w14:textId="3053B02A" w:rsidR="00C03453" w:rsidRDefault="00C03453" w:rsidP="00097563">
      <w:pPr>
        <w:rPr>
          <w:rFonts w:ascii="Georgia" w:eastAsia="Georgia" w:hAnsi="Georgia" w:cs="Georgia"/>
          <w:b/>
          <w:i/>
          <w:color w:val="3366FF"/>
        </w:rPr>
      </w:pPr>
    </w:p>
    <w:p w14:paraId="0EA9E43B" w14:textId="1D04385A" w:rsidR="00E405BB" w:rsidRDefault="00E405BB" w:rsidP="00E405BB">
      <w:pPr>
        <w:jc w:val="center"/>
        <w:rPr>
          <w:rFonts w:ascii="Georgia" w:eastAsia="Georgia" w:hAnsi="Georgia" w:cs="Georgia"/>
          <w:b/>
          <w:i/>
          <w:color w:val="3366FF"/>
        </w:rPr>
      </w:pPr>
      <w:r>
        <w:rPr>
          <w:rFonts w:ascii="Georgia" w:eastAsia="Georgia" w:hAnsi="Georgia" w:cs="Georgia"/>
          <w:b/>
          <w:i/>
          <w:color w:val="3366FF"/>
        </w:rPr>
        <w:t>Program Requirements — Praxis II</w:t>
      </w:r>
    </w:p>
    <w:p w14:paraId="23B5C095" w14:textId="77777777" w:rsidR="00E405BB" w:rsidRDefault="00E405BB">
      <w:pPr>
        <w:jc w:val="both"/>
        <w:rPr>
          <w:rFonts w:ascii="Georgia" w:eastAsia="Georgia" w:hAnsi="Georgia" w:cs="Georgia"/>
        </w:rPr>
      </w:pPr>
    </w:p>
    <w:p w14:paraId="00000016" w14:textId="747E82A5" w:rsidR="00C1327D" w:rsidRDefault="00B65CB4">
      <w:pPr>
        <w:jc w:val="both"/>
        <w:rPr>
          <w:rFonts w:ascii="Georgia" w:eastAsia="Georgia" w:hAnsi="Georgia" w:cs="Georgia"/>
        </w:rPr>
      </w:pPr>
      <w:r>
        <w:rPr>
          <w:rFonts w:ascii="Georgia" w:eastAsia="Georgia" w:hAnsi="Georgia" w:cs="Georgia"/>
        </w:rPr>
        <w:t xml:space="preserve">Some institutions require students to pass Praxis II to be admitted to student teaching; others </w:t>
      </w:r>
      <w:r w:rsidR="0049187C">
        <w:rPr>
          <w:rFonts w:ascii="Georgia" w:eastAsia="Georgia" w:hAnsi="Georgia" w:cs="Georgia"/>
        </w:rPr>
        <w:t xml:space="preserve">require it </w:t>
      </w:r>
      <w:r>
        <w:rPr>
          <w:rFonts w:ascii="Georgia" w:eastAsia="Georgia" w:hAnsi="Georgia" w:cs="Georgia"/>
        </w:rPr>
        <w:t xml:space="preserve">for certification (Saint Mary, Doane, Hastings, Peru State, Kearney, Lincoln, Wayne State) or graduation (Nebraska Wesleyan).  </w:t>
      </w:r>
    </w:p>
    <w:p w14:paraId="00000017" w14:textId="77777777" w:rsidR="00C1327D" w:rsidRDefault="00C1327D">
      <w:pPr>
        <w:jc w:val="both"/>
        <w:rPr>
          <w:rFonts w:ascii="Georgia" w:eastAsia="Georgia" w:hAnsi="Georgia" w:cs="Georgia"/>
        </w:rPr>
      </w:pPr>
    </w:p>
    <w:p w14:paraId="00000018" w14:textId="02C13A27" w:rsidR="00C1327D" w:rsidRPr="006721EA" w:rsidRDefault="00B65CB4">
      <w:pPr>
        <w:numPr>
          <w:ilvl w:val="0"/>
          <w:numId w:val="11"/>
        </w:numPr>
        <w:jc w:val="both"/>
        <w:rPr>
          <w:rFonts w:ascii="Georgia" w:eastAsia="Georgia" w:hAnsi="Georgia" w:cs="Georgia"/>
          <w:i/>
          <w:iCs/>
        </w:rPr>
      </w:pPr>
      <w:r>
        <w:rPr>
          <w:rFonts w:ascii="Georgia" w:eastAsia="Georgia" w:hAnsi="Georgia" w:cs="Georgia"/>
          <w:i/>
        </w:rPr>
        <w:t xml:space="preserve">Recommendation: </w:t>
      </w:r>
      <w:r>
        <w:rPr>
          <w:rFonts w:ascii="Georgia" w:eastAsia="Georgia" w:hAnsi="Georgia" w:cs="Georgia"/>
        </w:rPr>
        <w:t xml:space="preserve">Based on the </w:t>
      </w:r>
      <w:r w:rsidR="006721EA">
        <w:rPr>
          <w:rFonts w:ascii="Georgia" w:eastAsia="Georgia" w:hAnsi="Georgia" w:cs="Georgia"/>
        </w:rPr>
        <w:t>balance</w:t>
      </w:r>
      <w:r w:rsidR="00C03453">
        <w:rPr>
          <w:rFonts w:ascii="Georgia" w:eastAsia="Georgia" w:hAnsi="Georgia" w:cs="Georgia"/>
        </w:rPr>
        <w:t xml:space="preserve"> of </w:t>
      </w:r>
      <w:r>
        <w:rPr>
          <w:rFonts w:ascii="Georgia" w:eastAsia="Georgia" w:hAnsi="Georgia" w:cs="Georgia"/>
        </w:rPr>
        <w:t xml:space="preserve">research </w:t>
      </w:r>
      <w:r w:rsidR="006721EA">
        <w:rPr>
          <w:rFonts w:ascii="Georgia" w:eastAsia="Georgia" w:hAnsi="Georgia" w:cs="Georgia"/>
        </w:rPr>
        <w:t>(see above)</w:t>
      </w:r>
      <w:r w:rsidR="00C03453">
        <w:rPr>
          <w:rFonts w:ascii="Georgia" w:eastAsia="Georgia" w:hAnsi="Georgia" w:cs="Georgia"/>
        </w:rPr>
        <w:t xml:space="preserve"> </w:t>
      </w:r>
      <w:r>
        <w:rPr>
          <w:rFonts w:ascii="Georgia" w:eastAsia="Georgia" w:hAnsi="Georgia" w:cs="Georgia"/>
        </w:rPr>
        <w:t xml:space="preserve">correlating teacher effectiveness to </w:t>
      </w:r>
      <w:r>
        <w:rPr>
          <w:rFonts w:ascii="Georgia" w:eastAsia="Georgia" w:hAnsi="Georgia" w:cs="Georgia"/>
          <w:i/>
        </w:rPr>
        <w:t>content</w:t>
      </w:r>
      <w:r>
        <w:rPr>
          <w:rFonts w:ascii="Georgia" w:eastAsia="Georgia" w:hAnsi="Georgia" w:cs="Georgia"/>
        </w:rPr>
        <w:t xml:space="preserve"> knowledge measured by </w:t>
      </w:r>
      <w:r>
        <w:rPr>
          <w:rFonts w:ascii="Georgia" w:eastAsia="Georgia" w:hAnsi="Georgia" w:cs="Georgia"/>
          <w:i/>
        </w:rPr>
        <w:t>content-specific standardized tests</w:t>
      </w:r>
      <w:r>
        <w:rPr>
          <w:rFonts w:ascii="Georgia" w:eastAsia="Georgia" w:hAnsi="Georgia" w:cs="Georgia"/>
        </w:rPr>
        <w:t xml:space="preserve"> (unlike the lack of correlation between basic pedagogical standardized tests and teacher effectiveness), the Institute recommends aligning all institutions to require passing the Praxis II content test to be admitted to student teaching. </w:t>
      </w:r>
      <w:r w:rsidR="006721EA">
        <w:rPr>
          <w:rFonts w:ascii="Georgia" w:eastAsia="Georgia" w:hAnsi="Georgia" w:cs="Georgia"/>
        </w:rPr>
        <w:t xml:space="preserve">This could be done as a condition of achieving the education degree, or as a condition of licensure – </w:t>
      </w:r>
      <w:r w:rsidR="006721EA" w:rsidRPr="006721EA">
        <w:rPr>
          <w:rFonts w:ascii="Georgia" w:eastAsia="Georgia" w:hAnsi="Georgia" w:cs="Georgia"/>
          <w:i/>
          <w:iCs/>
        </w:rPr>
        <w:t xml:space="preserve">the key is that a candidate shows adequate content knowledge prior to being the teacher of record in the classroom. </w:t>
      </w:r>
    </w:p>
    <w:p w14:paraId="00000019" w14:textId="77777777" w:rsidR="00C1327D" w:rsidRDefault="00C1327D">
      <w:pPr>
        <w:jc w:val="both"/>
        <w:rPr>
          <w:rFonts w:ascii="Georgia" w:eastAsia="Georgia" w:hAnsi="Georgia" w:cs="Georgia"/>
        </w:rPr>
      </w:pPr>
    </w:p>
    <w:p w14:paraId="671E7CA2" w14:textId="25AEB349" w:rsidR="00E405BB" w:rsidRDefault="00E405BB" w:rsidP="00E405BB">
      <w:pPr>
        <w:jc w:val="center"/>
        <w:rPr>
          <w:rFonts w:ascii="Georgia" w:eastAsia="Georgia" w:hAnsi="Georgia" w:cs="Georgia"/>
          <w:b/>
          <w:i/>
          <w:color w:val="3366FF"/>
        </w:rPr>
      </w:pPr>
      <w:r>
        <w:rPr>
          <w:rFonts w:ascii="Georgia" w:eastAsia="Georgia" w:hAnsi="Georgia" w:cs="Georgia"/>
          <w:b/>
          <w:i/>
          <w:color w:val="3366FF"/>
        </w:rPr>
        <w:t>Content Knowledge, Literacy, and Curriculum Literacy</w:t>
      </w:r>
    </w:p>
    <w:p w14:paraId="0000001B" w14:textId="77777777" w:rsidR="00C1327D" w:rsidRDefault="00C1327D">
      <w:pPr>
        <w:jc w:val="both"/>
        <w:rPr>
          <w:rFonts w:ascii="Georgia" w:eastAsia="Georgia" w:hAnsi="Georgia" w:cs="Georgia"/>
          <w:b/>
          <w:i/>
        </w:rPr>
      </w:pPr>
    </w:p>
    <w:p w14:paraId="0000001C" w14:textId="3466EB87" w:rsidR="00C1327D" w:rsidRDefault="00B65CB4">
      <w:pPr>
        <w:numPr>
          <w:ilvl w:val="0"/>
          <w:numId w:val="11"/>
        </w:numPr>
        <w:jc w:val="both"/>
        <w:rPr>
          <w:rFonts w:ascii="Georgia" w:eastAsia="Georgia" w:hAnsi="Georgia" w:cs="Georgia"/>
        </w:rPr>
      </w:pPr>
      <w:r>
        <w:rPr>
          <w:rFonts w:ascii="Georgia" w:eastAsia="Georgia" w:hAnsi="Georgia" w:cs="Georgia"/>
          <w:i/>
        </w:rPr>
        <w:t xml:space="preserve">Recommendation: </w:t>
      </w:r>
      <w:r w:rsidR="00E405BB">
        <w:rPr>
          <w:rFonts w:ascii="Georgia" w:eastAsia="Georgia" w:hAnsi="Georgia" w:cs="Georgia"/>
        </w:rPr>
        <w:t>T</w:t>
      </w:r>
      <w:r>
        <w:rPr>
          <w:rFonts w:ascii="Georgia" w:eastAsia="Georgia" w:hAnsi="Georgia" w:cs="Georgia"/>
        </w:rPr>
        <w:t>he Institute recommends strengthening the requirements for content knowledge by requiring future elementary school teachers to take courses in the core subjects they will teach.</w:t>
      </w:r>
    </w:p>
    <w:p w14:paraId="0000001D" w14:textId="215DF87D" w:rsidR="00C1327D" w:rsidRDefault="00B65CB4">
      <w:pPr>
        <w:numPr>
          <w:ilvl w:val="0"/>
          <w:numId w:val="11"/>
        </w:numPr>
        <w:jc w:val="both"/>
        <w:rPr>
          <w:rFonts w:ascii="Georgia" w:eastAsia="Georgia" w:hAnsi="Georgia" w:cs="Georgia"/>
        </w:rPr>
      </w:pPr>
      <w:r>
        <w:rPr>
          <w:rFonts w:ascii="Georgia" w:eastAsia="Georgia" w:hAnsi="Georgia" w:cs="Georgia"/>
          <w:i/>
        </w:rPr>
        <w:t>Recommendation:</w:t>
      </w:r>
      <w:r>
        <w:rPr>
          <w:rFonts w:ascii="Georgia" w:eastAsia="Georgia" w:hAnsi="Georgia" w:cs="Georgia"/>
        </w:rPr>
        <w:t xml:space="preserve"> </w:t>
      </w:r>
      <w:r w:rsidR="00E405BB">
        <w:rPr>
          <w:rFonts w:ascii="Georgia" w:eastAsia="Georgia" w:hAnsi="Georgia" w:cs="Georgia"/>
        </w:rPr>
        <w:t>T</w:t>
      </w:r>
      <w:r>
        <w:rPr>
          <w:rFonts w:ascii="Georgia" w:eastAsia="Georgia" w:hAnsi="Georgia" w:cs="Georgia"/>
        </w:rPr>
        <w:t xml:space="preserve">he Institute recommends </w:t>
      </w:r>
      <w:r w:rsidR="00C02543">
        <w:rPr>
          <w:rFonts w:ascii="Georgia" w:eastAsia="Georgia" w:hAnsi="Georgia" w:cs="Georgia"/>
        </w:rPr>
        <w:t xml:space="preserve">that Nebraska create its own version of the highly successful literacy program developed in Mississippi - </w:t>
      </w:r>
      <w:r>
        <w:rPr>
          <w:rFonts w:ascii="Georgia" w:eastAsia="Georgia" w:hAnsi="Georgia" w:cs="Georgia"/>
        </w:rPr>
        <w:t>providing statewide</w:t>
      </w:r>
      <w:r w:rsidR="0049187C">
        <w:rPr>
          <w:rFonts w:ascii="Georgia" w:eastAsia="Georgia" w:hAnsi="Georgia" w:cs="Georgia"/>
        </w:rPr>
        <w:t>,</w:t>
      </w:r>
      <w:r>
        <w:rPr>
          <w:rFonts w:ascii="Georgia" w:eastAsia="Georgia" w:hAnsi="Georgia" w:cs="Georgia"/>
        </w:rPr>
        <w:t xml:space="preserve"> early</w:t>
      </w:r>
      <w:r w:rsidR="0049187C">
        <w:rPr>
          <w:rFonts w:ascii="Georgia" w:eastAsia="Georgia" w:hAnsi="Georgia" w:cs="Georgia"/>
        </w:rPr>
        <w:t>-</w:t>
      </w:r>
      <w:r>
        <w:rPr>
          <w:rFonts w:ascii="Georgia" w:eastAsia="Georgia" w:hAnsi="Georgia" w:cs="Georgia"/>
        </w:rPr>
        <w:t>literacy professional development to K–3 educators through online modules and face-to-face workshops</w:t>
      </w:r>
      <w:r w:rsidR="0049187C">
        <w:rPr>
          <w:rFonts w:ascii="Georgia" w:eastAsia="Georgia" w:hAnsi="Georgia" w:cs="Georgia"/>
        </w:rPr>
        <w:t>.</w:t>
      </w:r>
      <w:r>
        <w:rPr>
          <w:rFonts w:ascii="Georgia" w:eastAsia="Georgia" w:hAnsi="Georgia" w:cs="Georgia"/>
          <w:vertAlign w:val="superscript"/>
        </w:rPr>
        <w:footnoteReference w:id="6"/>
      </w:r>
      <w:r w:rsidR="004C2539">
        <w:rPr>
          <w:rFonts w:ascii="Georgia" w:eastAsia="Georgia" w:hAnsi="Georgia" w:cs="Georgia"/>
        </w:rPr>
        <w:t xml:space="preserve"> </w:t>
      </w:r>
      <w:r w:rsidR="00C02543">
        <w:rPr>
          <w:rFonts w:ascii="Georgia" w:eastAsia="Georgia" w:hAnsi="Georgia" w:cs="Georgia"/>
        </w:rPr>
        <w:t xml:space="preserve">The Institute further recommends that the foundational elements of these professional development programs be </w:t>
      </w:r>
      <w:r w:rsidR="00C02543">
        <w:rPr>
          <w:rFonts w:ascii="Georgia" w:eastAsia="Georgia" w:hAnsi="Georgia" w:cs="Georgia"/>
        </w:rPr>
        <w:lastRenderedPageBreak/>
        <w:t xml:space="preserve">seeded during teacher preparation. </w:t>
      </w:r>
      <w:r w:rsidR="004C2539" w:rsidRPr="004C2539">
        <w:rPr>
          <w:rFonts w:ascii="Georgia" w:eastAsia="Georgia" w:hAnsi="Georgia" w:cs="Georgia"/>
        </w:rPr>
        <w:t>A major literature has been devoted to the subject of teacher preparation programs and their deficiencies</w:t>
      </w:r>
      <w:r w:rsidR="00C02543">
        <w:rPr>
          <w:rFonts w:ascii="Georgia" w:eastAsia="Georgia" w:hAnsi="Georgia" w:cs="Georgia"/>
        </w:rPr>
        <w:t xml:space="preserve"> in the domain of reading instruction</w:t>
      </w:r>
      <w:r w:rsidR="004C2539" w:rsidRPr="004C2539">
        <w:rPr>
          <w:rFonts w:ascii="Georgia" w:eastAsia="Georgia" w:hAnsi="Georgia" w:cs="Georgia"/>
        </w:rPr>
        <w:t>. For example,  The National Center for Teacher Quality (NCTQ) analyzed hundreds of reading courses across Schools of Education in the United States and found that on 23% used scientifically based curriculum content (NCTQ defines scientifically based reading instruction as addressing the</w:t>
      </w:r>
      <w:r w:rsidR="00C02543">
        <w:rPr>
          <w:rFonts w:ascii="Georgia" w:eastAsia="Georgia" w:hAnsi="Georgia" w:cs="Georgia"/>
        </w:rPr>
        <w:t xml:space="preserve"> five essential components of reading:</w:t>
      </w:r>
      <w:r w:rsidR="00034EB2">
        <w:rPr>
          <w:rStyle w:val="FootnoteReference"/>
          <w:rFonts w:ascii="Georgia" w:eastAsia="Georgia" w:hAnsi="Georgia" w:cs="Georgia"/>
        </w:rPr>
        <w:footnoteReference w:id="7"/>
      </w:r>
      <w:r w:rsidR="004C2539" w:rsidRPr="004C2539">
        <w:rPr>
          <w:rFonts w:ascii="Georgia" w:eastAsia="Georgia" w:hAnsi="Georgia" w:cs="Georgia"/>
        </w:rPr>
        <w:t> phonemic awareness, phonics, fluency, vocabulary, and reading comprehension). Efforts by SEAs across the country to require educator preparation programs to teach a certain number of credit hours devoted to certain overall subjects (such as reading) have failed to instill any consistency of information, still less the capacity to use that information effectively in the classroom, to teacher candidates</w:t>
      </w:r>
    </w:p>
    <w:p w14:paraId="0000001E" w14:textId="11F8C7F3" w:rsidR="00C1327D" w:rsidRDefault="00B65CB4">
      <w:pPr>
        <w:numPr>
          <w:ilvl w:val="0"/>
          <w:numId w:val="11"/>
        </w:numPr>
        <w:jc w:val="both"/>
        <w:rPr>
          <w:rFonts w:ascii="Georgia" w:eastAsia="Georgia" w:hAnsi="Georgia" w:cs="Georgia"/>
        </w:rPr>
      </w:pPr>
      <w:r>
        <w:rPr>
          <w:rFonts w:ascii="Georgia" w:eastAsia="Georgia" w:hAnsi="Georgia" w:cs="Georgia"/>
          <w:i/>
        </w:rPr>
        <w:t>Recommendation:</w:t>
      </w:r>
      <w:r>
        <w:rPr>
          <w:rFonts w:ascii="Georgia" w:eastAsia="Georgia" w:hAnsi="Georgia" w:cs="Georgia"/>
        </w:rPr>
        <w:t xml:space="preserve"> </w:t>
      </w:r>
      <w:r w:rsidR="00E405BB">
        <w:rPr>
          <w:rFonts w:ascii="Georgia" w:eastAsia="Georgia" w:hAnsi="Georgia" w:cs="Georgia"/>
        </w:rPr>
        <w:t>T</w:t>
      </w:r>
      <w:r>
        <w:rPr>
          <w:rFonts w:ascii="Georgia" w:eastAsia="Georgia" w:hAnsi="Georgia" w:cs="Georgia"/>
        </w:rPr>
        <w:t>he Institute recommends that schools of education increase their focus on curriculum literacy:</w:t>
      </w:r>
      <w:r w:rsidR="00034EB2">
        <w:rPr>
          <w:rStyle w:val="FootnoteReference"/>
          <w:rFonts w:ascii="Georgia" w:eastAsia="Georgia" w:hAnsi="Georgia" w:cs="Georgia"/>
        </w:rPr>
        <w:footnoteReference w:id="8"/>
      </w:r>
      <w:r>
        <w:rPr>
          <w:rFonts w:ascii="Georgia" w:eastAsia="Georgia" w:hAnsi="Georgia" w:cs="Georgia"/>
        </w:rPr>
        <w:t xml:space="preserve"> the capacity to distinguish strong from weak materials by clearly understanding the difference in one’s chosen teaching domain, being able to improve a bad curriculum, and adapt a strong one for diverse populations. Specifically, the Institute recommends </w:t>
      </w:r>
      <w:r w:rsidR="0049187C">
        <w:rPr>
          <w:rFonts w:ascii="Georgia" w:eastAsia="Georgia" w:hAnsi="Georgia" w:cs="Georgia"/>
        </w:rPr>
        <w:t xml:space="preserve">that </w:t>
      </w:r>
      <w:r>
        <w:rPr>
          <w:rFonts w:ascii="Georgia" w:eastAsia="Georgia" w:hAnsi="Georgia" w:cs="Georgia"/>
        </w:rPr>
        <w:t>Nebraska require future teachers to take courses and demonstrate competencies to enable them to (1) recognize and effectively use high-quality instructional materials; and (2) strengthen existing curriculum using standards-aligned tools, including digital resources.</w:t>
      </w:r>
    </w:p>
    <w:p w14:paraId="0000001F" w14:textId="77777777" w:rsidR="00C1327D" w:rsidRDefault="00C1327D">
      <w:pPr>
        <w:jc w:val="both"/>
        <w:rPr>
          <w:rFonts w:ascii="Georgia" w:eastAsia="Georgia" w:hAnsi="Georgia" w:cs="Georgia"/>
        </w:rPr>
      </w:pPr>
    </w:p>
    <w:p w14:paraId="6186AEF4" w14:textId="06781E20" w:rsidR="00E405BB" w:rsidRDefault="00E405BB" w:rsidP="00E405BB">
      <w:pPr>
        <w:jc w:val="center"/>
        <w:rPr>
          <w:rFonts w:ascii="Georgia" w:eastAsia="Georgia" w:hAnsi="Georgia" w:cs="Georgia"/>
          <w:b/>
          <w:i/>
          <w:color w:val="3366FF"/>
        </w:rPr>
      </w:pPr>
      <w:r>
        <w:rPr>
          <w:rFonts w:ascii="Georgia" w:eastAsia="Georgia" w:hAnsi="Georgia" w:cs="Georgia"/>
          <w:b/>
          <w:i/>
          <w:color w:val="3366FF"/>
        </w:rPr>
        <w:t xml:space="preserve">Clinical Practice Requirement </w:t>
      </w:r>
    </w:p>
    <w:p w14:paraId="456C29A6" w14:textId="77777777" w:rsidR="00E405BB" w:rsidRDefault="00E405BB">
      <w:pPr>
        <w:jc w:val="both"/>
        <w:rPr>
          <w:rFonts w:ascii="Georgia" w:eastAsia="Georgia" w:hAnsi="Georgia" w:cs="Georgia"/>
          <w:b/>
          <w:i/>
        </w:rPr>
      </w:pPr>
    </w:p>
    <w:p w14:paraId="00000020" w14:textId="300EF13D" w:rsidR="00C1327D" w:rsidRDefault="00B65CB4">
      <w:pPr>
        <w:jc w:val="both"/>
        <w:rPr>
          <w:rFonts w:ascii="Georgia" w:eastAsia="Georgia" w:hAnsi="Georgia" w:cs="Georgia"/>
        </w:rPr>
      </w:pPr>
      <w:r>
        <w:rPr>
          <w:rFonts w:ascii="Georgia" w:eastAsia="Georgia" w:hAnsi="Georgia" w:cs="Georgia"/>
        </w:rPr>
        <w:t xml:space="preserve">Clinical practice opportunities (field experiences) currently range from 16-20 weeks, with Pre-Student Hours ranging from 100-224 hours, and Student Teaching Hours ranging from 550 to 720 hours. Doane University and Chadron State have committed to strengthening clinical practice: Doane guarantees employment to teacher education graduates through intentional collaboration with districts, and Chadron State has a full-year clinical practice requirement. </w:t>
      </w:r>
    </w:p>
    <w:p w14:paraId="00000021" w14:textId="77777777" w:rsidR="00C1327D" w:rsidRDefault="00C1327D">
      <w:pPr>
        <w:jc w:val="both"/>
        <w:rPr>
          <w:rFonts w:ascii="Georgia" w:eastAsia="Georgia" w:hAnsi="Georgia" w:cs="Georgia"/>
        </w:rPr>
      </w:pPr>
    </w:p>
    <w:p w14:paraId="00000022" w14:textId="7AE4EC9E" w:rsidR="00C1327D" w:rsidRDefault="00B65CB4">
      <w:pPr>
        <w:numPr>
          <w:ilvl w:val="0"/>
          <w:numId w:val="6"/>
        </w:numPr>
        <w:jc w:val="both"/>
        <w:rPr>
          <w:rFonts w:ascii="Georgia" w:eastAsia="Georgia" w:hAnsi="Georgia" w:cs="Georgia"/>
        </w:rPr>
      </w:pPr>
      <w:r>
        <w:rPr>
          <w:rFonts w:ascii="Georgia" w:eastAsia="Georgia" w:hAnsi="Georgia" w:cs="Georgia"/>
          <w:i/>
        </w:rPr>
        <w:t>Recommendation:</w:t>
      </w:r>
      <w:r>
        <w:rPr>
          <w:rFonts w:ascii="Georgia" w:eastAsia="Georgia" w:hAnsi="Georgia" w:cs="Georgia"/>
        </w:rPr>
        <w:t xml:space="preserve"> Following the leadership in other states — particularly Maryland and Louisiana — as well as the example of Chadron State, the Institute recommends phasing in a full-year clinical residency among all programs, to strengthen student-teachers’ field experiences.</w:t>
      </w:r>
      <w:r>
        <w:rPr>
          <w:rFonts w:ascii="Georgia" w:eastAsia="Georgia" w:hAnsi="Georgia" w:cs="Georgia"/>
          <w:vertAlign w:val="superscript"/>
        </w:rPr>
        <w:footnoteReference w:id="9"/>
      </w:r>
      <w:r>
        <w:rPr>
          <w:rFonts w:ascii="Georgia" w:eastAsia="Georgia" w:hAnsi="Georgia" w:cs="Georgia"/>
        </w:rPr>
        <w:t xml:space="preserve"> </w:t>
      </w:r>
      <w:r w:rsidR="003538CB">
        <w:rPr>
          <w:rFonts w:ascii="Georgia" w:eastAsia="Georgia" w:hAnsi="Georgia" w:cs="Georgia"/>
        </w:rPr>
        <w:t xml:space="preserve">The Department should institute </w:t>
      </w:r>
      <w:r w:rsidR="003538CB">
        <w:rPr>
          <w:rFonts w:ascii="Georgia" w:eastAsia="Georgia" w:hAnsi="Georgia" w:cs="Georgia"/>
        </w:rPr>
        <w:lastRenderedPageBreak/>
        <w:t>a policy changes so that by the academic year 2025-2026 all teacher preparation programs have a full year of residency as a requirement of their programs (a five-</w:t>
      </w:r>
      <w:proofErr w:type="spellStart"/>
      <w:r w:rsidR="00100661">
        <w:rPr>
          <w:rFonts w:ascii="Georgia" w:eastAsia="Georgia" w:hAnsi="Georgia" w:cs="Georgia"/>
        </w:rPr>
        <w:t>s</w:t>
      </w:r>
      <w:r w:rsidR="003538CB">
        <w:rPr>
          <w:rFonts w:ascii="Georgia" w:eastAsia="Georgia" w:hAnsi="Georgia" w:cs="Georgia"/>
        </w:rPr>
        <w:t>year</w:t>
      </w:r>
      <w:proofErr w:type="spellEnd"/>
      <w:r w:rsidR="003538CB">
        <w:rPr>
          <w:rFonts w:ascii="Georgia" w:eastAsia="Georgia" w:hAnsi="Georgia" w:cs="Georgia"/>
        </w:rPr>
        <w:t xml:space="preserve"> glide path: programs should be encouraged to move more rapidly to implementation if possible. </w:t>
      </w:r>
      <w:r w:rsidR="00C03453">
        <w:rPr>
          <w:rFonts w:ascii="Georgia" w:eastAsia="Georgia" w:hAnsi="Georgia" w:cs="Georgia"/>
        </w:rPr>
        <w:t>There are multiple possible models of implementation: some programs are placing the full year residency as the final year of a five</w:t>
      </w:r>
      <w:r w:rsidR="003538CB">
        <w:rPr>
          <w:rFonts w:ascii="Georgia" w:eastAsia="Georgia" w:hAnsi="Georgia" w:cs="Georgia"/>
        </w:rPr>
        <w:t>-</w:t>
      </w:r>
      <w:r w:rsidR="00C03453">
        <w:rPr>
          <w:rFonts w:ascii="Georgia" w:eastAsia="Georgia" w:hAnsi="Georgia" w:cs="Georgia"/>
        </w:rPr>
        <w:t>year BA=MAT (Master</w:t>
      </w:r>
      <w:r w:rsidR="00AA79E7">
        <w:rPr>
          <w:rFonts w:ascii="Georgia" w:eastAsia="Georgia" w:hAnsi="Georgia" w:cs="Georgia"/>
        </w:rPr>
        <w:t xml:space="preserve"> of Arts </w:t>
      </w:r>
      <w:r w:rsidR="00C03453">
        <w:rPr>
          <w:rFonts w:ascii="Georgia" w:eastAsia="Georgia" w:hAnsi="Georgia" w:cs="Georgia"/>
        </w:rPr>
        <w:t>in Teaching) degree</w:t>
      </w:r>
      <w:r w:rsidR="004D6247">
        <w:rPr>
          <w:rFonts w:ascii="Georgia" w:eastAsia="Georgia" w:hAnsi="Georgia" w:cs="Georgia"/>
        </w:rPr>
        <w:t>, with seminar course work built</w:t>
      </w:r>
      <w:r w:rsidR="00C03453">
        <w:rPr>
          <w:rFonts w:ascii="Georgia" w:eastAsia="Georgia" w:hAnsi="Georgia" w:cs="Georgia"/>
        </w:rPr>
        <w:t xml:space="preserve"> around the </w:t>
      </w:r>
      <w:r w:rsidR="003538CB">
        <w:rPr>
          <w:rFonts w:ascii="Georgia" w:eastAsia="Georgia" w:hAnsi="Georgia" w:cs="Georgia"/>
        </w:rPr>
        <w:t xml:space="preserve">residency as part of the MAT degree. Some schools of education may want to split the year of residency into two parts to be completed in consecutive years: this is a less effective model and should be allowed </w:t>
      </w:r>
      <w:r w:rsidR="00011E94">
        <w:rPr>
          <w:rFonts w:ascii="Georgia" w:eastAsia="Georgia" w:hAnsi="Georgia" w:cs="Georgia"/>
        </w:rPr>
        <w:t xml:space="preserve">- </w:t>
      </w:r>
      <w:r w:rsidR="003538CB">
        <w:rPr>
          <w:rFonts w:ascii="Georgia" w:eastAsia="Georgia" w:hAnsi="Georgia" w:cs="Georgia"/>
        </w:rPr>
        <w:t>under the Department’s discre</w:t>
      </w:r>
      <w:r w:rsidR="00011E94">
        <w:rPr>
          <w:rFonts w:ascii="Georgia" w:eastAsia="Georgia" w:hAnsi="Georgia" w:cs="Georgia"/>
        </w:rPr>
        <w:t>tion -</w:t>
      </w:r>
      <w:r w:rsidR="003538CB">
        <w:rPr>
          <w:rFonts w:ascii="Georgia" w:eastAsia="Georgia" w:hAnsi="Georgia" w:cs="Georgia"/>
        </w:rPr>
        <w:t xml:space="preserve"> only in cases where teacher preparation programs can show that a continuous year </w:t>
      </w:r>
      <w:r w:rsidR="00011E94">
        <w:rPr>
          <w:rFonts w:ascii="Georgia" w:eastAsia="Georgia" w:hAnsi="Georgia" w:cs="Georgia"/>
        </w:rPr>
        <w:t xml:space="preserve">of residency </w:t>
      </w:r>
      <w:r w:rsidR="003538CB">
        <w:rPr>
          <w:rFonts w:ascii="Georgia" w:eastAsia="Georgia" w:hAnsi="Georgia" w:cs="Georgia"/>
        </w:rPr>
        <w:t>imposes an insurmountable hardship.</w:t>
      </w:r>
      <w:r w:rsidR="00E80B63">
        <w:rPr>
          <w:rStyle w:val="FootnoteReference"/>
          <w:rFonts w:ascii="Georgia" w:eastAsia="Georgia" w:hAnsi="Georgia" w:cs="Georgia"/>
        </w:rPr>
        <w:footnoteReference w:id="10"/>
      </w:r>
    </w:p>
    <w:p w14:paraId="00000023" w14:textId="692C9079" w:rsidR="00C1327D" w:rsidRDefault="00C1327D">
      <w:pPr>
        <w:jc w:val="both"/>
        <w:rPr>
          <w:rFonts w:ascii="Georgia" w:eastAsia="Georgia" w:hAnsi="Georgia" w:cs="Georgia"/>
        </w:rPr>
      </w:pPr>
    </w:p>
    <w:p w14:paraId="562C675E" w14:textId="4FA6853B" w:rsidR="003538CB" w:rsidRDefault="003538CB">
      <w:pPr>
        <w:jc w:val="both"/>
        <w:rPr>
          <w:rFonts w:ascii="Georgia" w:eastAsia="Georgia" w:hAnsi="Georgia" w:cs="Georgia"/>
        </w:rPr>
      </w:pPr>
    </w:p>
    <w:p w14:paraId="3079BDED" w14:textId="49285C55" w:rsidR="00E405BB" w:rsidRDefault="00E405BB" w:rsidP="00E405BB">
      <w:pPr>
        <w:jc w:val="center"/>
        <w:rPr>
          <w:rFonts w:ascii="Georgia" w:eastAsia="Georgia" w:hAnsi="Georgia" w:cs="Georgia"/>
          <w:b/>
          <w:i/>
          <w:color w:val="3366FF"/>
        </w:rPr>
      </w:pPr>
      <w:r>
        <w:rPr>
          <w:rFonts w:ascii="Georgia" w:eastAsia="Georgia" w:hAnsi="Georgia" w:cs="Georgia"/>
          <w:b/>
          <w:i/>
          <w:color w:val="3366FF"/>
        </w:rPr>
        <w:t xml:space="preserve">Clinical Practice Assessment </w:t>
      </w:r>
    </w:p>
    <w:p w14:paraId="2C6B1740" w14:textId="77777777" w:rsidR="00E405BB" w:rsidRDefault="00E405BB" w:rsidP="00E405BB">
      <w:pPr>
        <w:jc w:val="center"/>
        <w:rPr>
          <w:rFonts w:ascii="Georgia" w:eastAsia="Georgia" w:hAnsi="Georgia" w:cs="Georgia"/>
          <w:b/>
          <w:i/>
          <w:color w:val="3366FF"/>
        </w:rPr>
      </w:pPr>
    </w:p>
    <w:p w14:paraId="00000024" w14:textId="447DFDAD" w:rsidR="00C1327D" w:rsidRDefault="00B65CB4">
      <w:pPr>
        <w:jc w:val="both"/>
        <w:rPr>
          <w:rFonts w:ascii="Georgia" w:eastAsia="Georgia" w:hAnsi="Georgia" w:cs="Georgia"/>
          <w:b/>
          <w:i/>
        </w:rPr>
      </w:pPr>
      <w:r>
        <w:rPr>
          <w:rFonts w:ascii="Georgia" w:eastAsia="Georgia" w:hAnsi="Georgia" w:cs="Georgia"/>
        </w:rPr>
        <w:t>Over the past two years, Nebraska has focused on implementing the newly revised Clinical Practice Assessment Rubrics. Adding to these, the Institute recommends the following:</w:t>
      </w:r>
    </w:p>
    <w:p w14:paraId="00000025" w14:textId="77777777" w:rsidR="00C1327D" w:rsidRDefault="00C1327D">
      <w:pPr>
        <w:jc w:val="both"/>
        <w:rPr>
          <w:rFonts w:ascii="Georgia" w:eastAsia="Georgia" w:hAnsi="Georgia" w:cs="Georgia"/>
        </w:rPr>
      </w:pPr>
    </w:p>
    <w:p w14:paraId="00000026" w14:textId="449A9872" w:rsidR="00C1327D" w:rsidRDefault="00B65CB4">
      <w:pPr>
        <w:numPr>
          <w:ilvl w:val="0"/>
          <w:numId w:val="4"/>
        </w:numPr>
        <w:jc w:val="both"/>
        <w:rPr>
          <w:rFonts w:ascii="Georgia" w:eastAsia="Georgia" w:hAnsi="Georgia" w:cs="Georgia"/>
        </w:rPr>
      </w:pPr>
      <w:r>
        <w:rPr>
          <w:rFonts w:ascii="Georgia" w:eastAsia="Georgia" w:hAnsi="Georgia" w:cs="Georgia"/>
          <w:i/>
        </w:rPr>
        <w:t xml:space="preserve">Recommendation: </w:t>
      </w:r>
      <w:r>
        <w:rPr>
          <w:rFonts w:ascii="Georgia" w:eastAsia="Georgia" w:hAnsi="Georgia" w:cs="Georgia"/>
        </w:rPr>
        <w:t>The Institute recommends a five-year shift from course hours to a skills-competency approach, using artifacts</w:t>
      </w:r>
      <w:r w:rsidR="00172F33">
        <w:rPr>
          <w:rFonts w:ascii="Georgia" w:eastAsia="Georgia" w:hAnsi="Georgia" w:cs="Georgia"/>
        </w:rPr>
        <w:t xml:space="preserve"> (e.g.</w:t>
      </w:r>
      <w:r w:rsidR="00FD448B">
        <w:rPr>
          <w:rFonts w:ascii="Georgia" w:eastAsia="Georgia" w:hAnsi="Georgia" w:cs="Georgia"/>
        </w:rPr>
        <w:t>,</w:t>
      </w:r>
      <w:r w:rsidR="00172F33">
        <w:rPr>
          <w:rFonts w:ascii="Georgia" w:eastAsia="Georgia" w:hAnsi="Georgia" w:cs="Georgia"/>
        </w:rPr>
        <w:t xml:space="preserve"> video samples, lesson-plans, assessment designs, curricula adaptations)</w:t>
      </w:r>
      <w:r>
        <w:rPr>
          <w:rFonts w:ascii="Georgia" w:eastAsia="Georgia" w:hAnsi="Georgia" w:cs="Georgia"/>
        </w:rPr>
        <w:t xml:space="preserve"> from student teachers to demonstrate proficiency in standards.</w:t>
      </w:r>
    </w:p>
    <w:p w14:paraId="00000027" w14:textId="4623E128" w:rsidR="00C1327D" w:rsidRDefault="00B65CB4">
      <w:pPr>
        <w:numPr>
          <w:ilvl w:val="0"/>
          <w:numId w:val="4"/>
        </w:numPr>
        <w:jc w:val="both"/>
        <w:rPr>
          <w:rFonts w:ascii="Georgia" w:eastAsia="Georgia" w:hAnsi="Georgia" w:cs="Georgia"/>
        </w:rPr>
      </w:pPr>
      <w:r>
        <w:rPr>
          <w:rFonts w:ascii="Georgia" w:eastAsia="Georgia" w:hAnsi="Georgia" w:cs="Georgia"/>
          <w:i/>
        </w:rPr>
        <w:t xml:space="preserve">Recommendation: </w:t>
      </w:r>
      <w:r>
        <w:rPr>
          <w:rFonts w:ascii="Georgia" w:eastAsia="Georgia" w:hAnsi="Georgia" w:cs="Georgia"/>
        </w:rPr>
        <w:t xml:space="preserve">The Institute recommends that skills-competency be measured through (1) </w:t>
      </w:r>
      <w:r w:rsidR="00172F33">
        <w:rPr>
          <w:rFonts w:ascii="Georgia" w:eastAsia="Georgia" w:hAnsi="Georgia" w:cs="Georgia"/>
        </w:rPr>
        <w:t xml:space="preserve">written </w:t>
      </w:r>
      <w:r>
        <w:rPr>
          <w:rFonts w:ascii="Georgia" w:eastAsia="Georgia" w:hAnsi="Georgia" w:cs="Georgia"/>
        </w:rPr>
        <w:t>assessments — for example in curriculum literacy and the science of learning</w:t>
      </w:r>
      <w:r w:rsidR="00FD448B">
        <w:rPr>
          <w:rFonts w:ascii="Georgia" w:eastAsia="Georgia" w:hAnsi="Georgia" w:cs="Georgia"/>
        </w:rPr>
        <w:t>;</w:t>
      </w:r>
      <w:r>
        <w:rPr>
          <w:rFonts w:ascii="Georgia" w:eastAsia="Georgia" w:hAnsi="Georgia" w:cs="Georgia"/>
          <w:vertAlign w:val="superscript"/>
        </w:rPr>
        <w:footnoteReference w:id="11"/>
      </w:r>
      <w:r>
        <w:rPr>
          <w:rFonts w:ascii="Georgia" w:eastAsia="Georgia" w:hAnsi="Georgia" w:cs="Georgia"/>
        </w:rPr>
        <w:t xml:space="preserve"> and (2) oral- and video-based demonstrations — for example of classroom management during the practicum or, once established, during the one-year clinical residency.</w:t>
      </w:r>
    </w:p>
    <w:p w14:paraId="00000028" w14:textId="768A8EF9" w:rsidR="00C1327D" w:rsidRDefault="00B65CB4">
      <w:pPr>
        <w:numPr>
          <w:ilvl w:val="0"/>
          <w:numId w:val="4"/>
        </w:numPr>
        <w:jc w:val="both"/>
        <w:rPr>
          <w:rFonts w:ascii="Georgia" w:eastAsia="Georgia" w:hAnsi="Georgia" w:cs="Georgia"/>
        </w:rPr>
      </w:pPr>
      <w:r>
        <w:rPr>
          <w:rFonts w:ascii="Georgia" w:eastAsia="Georgia" w:hAnsi="Georgia" w:cs="Georgia"/>
          <w:i/>
        </w:rPr>
        <w:t>Recommendation:</w:t>
      </w:r>
      <w:r>
        <w:rPr>
          <w:rFonts w:ascii="Georgia" w:eastAsia="Georgia" w:hAnsi="Georgia" w:cs="Georgia"/>
        </w:rPr>
        <w:t xml:space="preserve"> The Institute </w:t>
      </w:r>
      <w:r w:rsidR="003C4AB6">
        <w:rPr>
          <w:rFonts w:ascii="Georgia" w:eastAsia="Georgia" w:hAnsi="Georgia" w:cs="Georgia"/>
        </w:rPr>
        <w:t>commends the Department’s pioneering work</w:t>
      </w:r>
      <w:r>
        <w:rPr>
          <w:rFonts w:ascii="Georgia" w:eastAsia="Georgia" w:hAnsi="Georgia" w:cs="Georgia"/>
        </w:rPr>
        <w:t xml:space="preserve"> </w:t>
      </w:r>
      <w:r w:rsidR="003C4AB6">
        <w:rPr>
          <w:rFonts w:ascii="Georgia" w:eastAsia="Georgia" w:hAnsi="Georgia" w:cs="Georgia"/>
        </w:rPr>
        <w:t>in raising the caliber of practicum observations and the rubrics that were developed to support them</w:t>
      </w:r>
      <w:r w:rsidR="00FD448B">
        <w:rPr>
          <w:rFonts w:ascii="Georgia" w:eastAsia="Georgia" w:hAnsi="Georgia" w:cs="Georgia"/>
        </w:rPr>
        <w:t>.</w:t>
      </w:r>
      <w:r w:rsidR="003C4AB6">
        <w:rPr>
          <w:rStyle w:val="FootnoteReference"/>
          <w:rFonts w:ascii="Georgia" w:eastAsia="Georgia" w:hAnsi="Georgia" w:cs="Georgia"/>
        </w:rPr>
        <w:footnoteReference w:id="12"/>
      </w:r>
      <w:r w:rsidR="003C4AB6">
        <w:rPr>
          <w:rFonts w:ascii="Georgia" w:eastAsia="Georgia" w:hAnsi="Georgia" w:cs="Georgia"/>
        </w:rPr>
        <w:t xml:space="preserve"> We especially note the effort to norm the observers’ judgments</w:t>
      </w:r>
      <w:r w:rsidR="00FD448B">
        <w:rPr>
          <w:rFonts w:ascii="Georgia" w:eastAsia="Georgia" w:hAnsi="Georgia" w:cs="Georgia"/>
        </w:rPr>
        <w:t>.</w:t>
      </w:r>
      <w:r w:rsidR="00331E77">
        <w:rPr>
          <w:rFonts w:ascii="Georgia" w:eastAsia="Georgia" w:hAnsi="Georgia" w:cs="Georgia"/>
        </w:rPr>
        <w:t xml:space="preserve"> </w:t>
      </w:r>
      <w:r w:rsidR="003C4AB6">
        <w:rPr>
          <w:rFonts w:ascii="Georgia" w:eastAsia="Georgia" w:hAnsi="Georgia" w:cs="Georgia"/>
        </w:rPr>
        <w:lastRenderedPageBreak/>
        <w:t xml:space="preserve">The next step would be to differentiate the observations to different grade levels and, where possible, use best-in-class tools that are specific to those grades. One example is the </w:t>
      </w:r>
      <w:r>
        <w:rPr>
          <w:rFonts w:ascii="Georgia" w:eastAsia="Georgia" w:hAnsi="Georgia" w:cs="Georgia"/>
        </w:rPr>
        <w:t>University of Virginia’s CLASS — Classroom Assessment Scoring System — instrument</w:t>
      </w:r>
      <w:r w:rsidR="003C4AB6">
        <w:rPr>
          <w:rFonts w:ascii="Georgia" w:eastAsia="Georgia" w:hAnsi="Georgia" w:cs="Georgia"/>
        </w:rPr>
        <w:t>.</w:t>
      </w:r>
      <w:r>
        <w:rPr>
          <w:rFonts w:ascii="Georgia" w:eastAsia="Georgia" w:hAnsi="Georgia" w:cs="Georgia"/>
          <w:vertAlign w:val="superscript"/>
        </w:rPr>
        <w:footnoteReference w:id="13"/>
      </w:r>
      <w:r w:rsidR="003C4AB6">
        <w:rPr>
          <w:rFonts w:ascii="Georgia" w:eastAsia="Georgia" w:hAnsi="Georgia" w:cs="Georgia"/>
        </w:rPr>
        <w:t xml:space="preserve"> We also believe that the Department has the foundations for the development of a professional career ladder for teachers who focus on working with student-teachers – an “Advanced Mentoring” designation that would be recognized with salary support.</w:t>
      </w:r>
      <w:r>
        <w:rPr>
          <w:rFonts w:ascii="Georgia" w:eastAsia="Georgia" w:hAnsi="Georgia" w:cs="Georgia"/>
          <w:vertAlign w:val="superscript"/>
        </w:rPr>
        <w:footnoteReference w:id="14"/>
      </w:r>
    </w:p>
    <w:p w14:paraId="0000002A" w14:textId="3BB7D2D5" w:rsidR="00C1327D" w:rsidRPr="00E405BB" w:rsidRDefault="00B65CB4" w:rsidP="00E405BB">
      <w:pPr>
        <w:numPr>
          <w:ilvl w:val="0"/>
          <w:numId w:val="13"/>
        </w:numPr>
        <w:jc w:val="both"/>
        <w:rPr>
          <w:rFonts w:ascii="Georgia" w:eastAsia="Georgia" w:hAnsi="Georgia" w:cs="Georgia"/>
        </w:rPr>
      </w:pPr>
      <w:r>
        <w:rPr>
          <w:rFonts w:ascii="Georgia" w:eastAsia="Georgia" w:hAnsi="Georgia" w:cs="Georgia"/>
          <w:i/>
        </w:rPr>
        <w:t xml:space="preserve">Recommendation: </w:t>
      </w:r>
      <w:r>
        <w:rPr>
          <w:rFonts w:ascii="Georgia" w:eastAsia="Georgia" w:hAnsi="Georgia" w:cs="Georgia"/>
        </w:rPr>
        <w:t xml:space="preserve">The Institute recommends that Nebraska rely more strongly on video analysis to assess clinical practice, such as </w:t>
      </w:r>
      <w:proofErr w:type="spellStart"/>
      <w:r>
        <w:rPr>
          <w:rFonts w:ascii="Georgia" w:eastAsia="Georgia" w:hAnsi="Georgia" w:cs="Georgia"/>
        </w:rPr>
        <w:t>EdTPA</w:t>
      </w:r>
      <w:proofErr w:type="spellEnd"/>
      <w:r>
        <w:rPr>
          <w:rFonts w:ascii="Georgia" w:eastAsia="Georgia" w:hAnsi="Georgia" w:cs="Georgia"/>
          <w:vertAlign w:val="superscript"/>
        </w:rPr>
        <w:footnoteReference w:id="15"/>
      </w:r>
      <w:r>
        <w:rPr>
          <w:rFonts w:ascii="Georgia" w:eastAsia="Georgia" w:hAnsi="Georgia" w:cs="Georgia"/>
        </w:rPr>
        <w:t xml:space="preserve"> and PPAT Assessment from ETS</w:t>
      </w:r>
      <w:r w:rsidR="00FD448B">
        <w:rPr>
          <w:rFonts w:ascii="Georgia" w:eastAsia="Georgia" w:hAnsi="Georgia" w:cs="Georgia"/>
        </w:rPr>
        <w:t>.</w:t>
      </w:r>
      <w:r>
        <w:rPr>
          <w:rFonts w:ascii="Georgia" w:eastAsia="Georgia" w:hAnsi="Georgia" w:cs="Georgia"/>
          <w:vertAlign w:val="superscript"/>
        </w:rPr>
        <w:footnoteReference w:id="16"/>
      </w:r>
      <w:r>
        <w:rPr>
          <w:rFonts w:ascii="Georgia" w:eastAsia="Georgia" w:hAnsi="Georgia" w:cs="Georgia"/>
        </w:rPr>
        <w:t xml:space="preserve"> </w:t>
      </w:r>
      <w:r w:rsidR="00172F33">
        <w:rPr>
          <w:rFonts w:ascii="Georgia" w:eastAsia="Georgia" w:hAnsi="Georgia" w:cs="Georgia"/>
        </w:rPr>
        <w:t xml:space="preserve">(Depending on pending legislation/regulations, </w:t>
      </w:r>
      <w:r>
        <w:rPr>
          <w:rFonts w:ascii="Georgia" w:eastAsia="Georgia" w:hAnsi="Georgia" w:cs="Georgia"/>
        </w:rPr>
        <w:t xml:space="preserve">Maryland </w:t>
      </w:r>
      <w:r w:rsidR="00172F33">
        <w:rPr>
          <w:rFonts w:ascii="Georgia" w:eastAsia="Georgia" w:hAnsi="Georgia" w:cs="Georgia"/>
        </w:rPr>
        <w:t>may make</w:t>
      </w:r>
      <w:r>
        <w:rPr>
          <w:rFonts w:ascii="Georgia" w:eastAsia="Georgia" w:hAnsi="Georgia" w:cs="Georgia"/>
        </w:rPr>
        <w:t xml:space="preserve"> the </w:t>
      </w:r>
      <w:proofErr w:type="spellStart"/>
      <w:r>
        <w:rPr>
          <w:rFonts w:ascii="Georgia" w:eastAsia="Georgia" w:hAnsi="Georgia" w:cs="Georgia"/>
        </w:rPr>
        <w:t>EdTPA</w:t>
      </w:r>
      <w:proofErr w:type="spellEnd"/>
      <w:r>
        <w:rPr>
          <w:rFonts w:ascii="Georgia" w:eastAsia="Georgia" w:hAnsi="Georgia" w:cs="Georgia"/>
        </w:rPr>
        <w:t xml:space="preserve"> compulsory</w:t>
      </w:r>
      <w:r w:rsidR="00172F33">
        <w:rPr>
          <w:rFonts w:ascii="Georgia" w:eastAsia="Georgia" w:hAnsi="Georgia" w:cs="Georgia"/>
        </w:rPr>
        <w:t xml:space="preserve"> within the next five years</w:t>
      </w:r>
      <w:r w:rsidR="00FD448B">
        <w:rPr>
          <w:rFonts w:ascii="Georgia" w:eastAsia="Georgia" w:hAnsi="Georgia" w:cs="Georgia"/>
        </w:rPr>
        <w:t>.</w:t>
      </w:r>
      <w:r w:rsidR="00172F33">
        <w:rPr>
          <w:rFonts w:ascii="Georgia" w:eastAsia="Georgia" w:hAnsi="Georgia" w:cs="Georgia"/>
        </w:rPr>
        <w:t>)</w:t>
      </w:r>
      <w:r>
        <w:rPr>
          <w:rFonts w:ascii="Georgia" w:eastAsia="Georgia" w:hAnsi="Georgia" w:cs="Georgia"/>
        </w:rPr>
        <w:t xml:space="preserve"> The Institute recommends that Nebraska </w:t>
      </w:r>
      <w:r w:rsidRPr="00172F33">
        <w:rPr>
          <w:rFonts w:ascii="Georgia" w:eastAsia="Georgia" w:hAnsi="Georgia" w:cs="Georgia"/>
          <w:b/>
          <w:bCs/>
        </w:rPr>
        <w:t>require</w:t>
      </w:r>
      <w:r>
        <w:rPr>
          <w:rFonts w:ascii="Georgia" w:eastAsia="Georgia" w:hAnsi="Georgia" w:cs="Georgia"/>
        </w:rPr>
        <w:t xml:space="preserve"> an exit-competency demonstration of teaching proficiency based on video-based records of in-person teaching. Ed Schools </w:t>
      </w:r>
      <w:r w:rsidR="003C4AB6">
        <w:rPr>
          <w:rFonts w:ascii="Georgia" w:eastAsia="Georgia" w:hAnsi="Georgia" w:cs="Georgia"/>
        </w:rPr>
        <w:t>could</w:t>
      </w:r>
      <w:r>
        <w:rPr>
          <w:rFonts w:ascii="Georgia" w:eastAsia="Georgia" w:hAnsi="Georgia" w:cs="Georgia"/>
        </w:rPr>
        <w:t xml:space="preserve"> elect to use </w:t>
      </w:r>
      <w:proofErr w:type="spellStart"/>
      <w:r w:rsidR="00FD448B">
        <w:rPr>
          <w:rFonts w:ascii="Georgia" w:eastAsia="Georgia" w:hAnsi="Georgia" w:cs="Georgia"/>
        </w:rPr>
        <w:t>E</w:t>
      </w:r>
      <w:r>
        <w:rPr>
          <w:rFonts w:ascii="Georgia" w:eastAsia="Georgia" w:hAnsi="Georgia" w:cs="Georgia"/>
        </w:rPr>
        <w:t>dTPA</w:t>
      </w:r>
      <w:proofErr w:type="spellEnd"/>
      <w:r>
        <w:rPr>
          <w:rFonts w:ascii="Georgia" w:eastAsia="Georgia" w:hAnsi="Georgia" w:cs="Georgia"/>
        </w:rPr>
        <w:t>, PPAT, or their own video-based assessment design and scoring methodology approved by the Nebraska Department of Education.</w:t>
      </w:r>
    </w:p>
    <w:p w14:paraId="33B9E0C1" w14:textId="77777777" w:rsidR="00E405BB" w:rsidRDefault="00E405BB">
      <w:pPr>
        <w:jc w:val="both"/>
        <w:rPr>
          <w:rFonts w:ascii="Georgia" w:eastAsia="Georgia" w:hAnsi="Georgia" w:cs="Georgia"/>
          <w:b/>
          <w:i/>
        </w:rPr>
      </w:pPr>
    </w:p>
    <w:p w14:paraId="3A497689" w14:textId="5E5CDCCC" w:rsidR="00E405BB" w:rsidRDefault="00E405BB" w:rsidP="00E405BB">
      <w:pPr>
        <w:jc w:val="center"/>
        <w:rPr>
          <w:rFonts w:ascii="Georgia" w:eastAsia="Georgia" w:hAnsi="Georgia" w:cs="Georgia"/>
          <w:b/>
          <w:i/>
          <w:color w:val="3366FF"/>
        </w:rPr>
      </w:pPr>
      <w:r>
        <w:rPr>
          <w:rFonts w:ascii="Georgia" w:eastAsia="Georgia" w:hAnsi="Georgia" w:cs="Georgia"/>
          <w:b/>
          <w:i/>
          <w:color w:val="3366FF"/>
        </w:rPr>
        <w:t>District Partnerships</w:t>
      </w:r>
    </w:p>
    <w:p w14:paraId="20F035B7" w14:textId="77777777" w:rsidR="00E405BB" w:rsidRDefault="00E405BB">
      <w:pPr>
        <w:jc w:val="both"/>
        <w:rPr>
          <w:rFonts w:ascii="Georgia" w:eastAsia="Georgia" w:hAnsi="Georgia" w:cs="Georgia"/>
          <w:b/>
          <w:i/>
        </w:rPr>
      </w:pPr>
    </w:p>
    <w:p w14:paraId="0000002B" w14:textId="65E9550A" w:rsidR="00C1327D" w:rsidRDefault="00B65CB4">
      <w:pPr>
        <w:jc w:val="both"/>
        <w:rPr>
          <w:rFonts w:ascii="Georgia" w:eastAsia="Georgia" w:hAnsi="Georgia" w:cs="Georgia"/>
        </w:rPr>
      </w:pPr>
      <w:r>
        <w:rPr>
          <w:rFonts w:ascii="Georgia" w:eastAsia="Georgia" w:hAnsi="Georgia" w:cs="Georgia"/>
        </w:rPr>
        <w:t xml:space="preserve">Currently, Doane University </w:t>
      </w:r>
      <w:r w:rsidR="00CF22B4">
        <w:rPr>
          <w:rFonts w:ascii="Georgia" w:eastAsia="Georgia" w:hAnsi="Georgia" w:cs="Georgia"/>
        </w:rPr>
        <w:t>is one of the state leaders</w:t>
      </w:r>
      <w:r>
        <w:rPr>
          <w:rFonts w:ascii="Georgia" w:eastAsia="Georgia" w:hAnsi="Georgia" w:cs="Georgia"/>
        </w:rPr>
        <w:t xml:space="preserve"> in its focus on strategic relationships between their teacher education program and the districts their prospective teachers aim to serve. </w:t>
      </w:r>
      <w:r w:rsidR="00FD448B">
        <w:rPr>
          <w:rFonts w:ascii="Georgia" w:eastAsia="Georgia" w:hAnsi="Georgia" w:cs="Georgia"/>
        </w:rPr>
        <w:t>T</w:t>
      </w:r>
      <w:r>
        <w:rPr>
          <w:rFonts w:ascii="Georgia" w:eastAsia="Georgia" w:hAnsi="Georgia" w:cs="Georgia"/>
        </w:rPr>
        <w:t xml:space="preserve">hrough </w:t>
      </w:r>
      <w:r w:rsidR="00FD448B">
        <w:rPr>
          <w:rFonts w:ascii="Georgia" w:eastAsia="Georgia" w:hAnsi="Georgia" w:cs="Georgia"/>
        </w:rPr>
        <w:t xml:space="preserve">this </w:t>
      </w:r>
      <w:r>
        <w:rPr>
          <w:rFonts w:ascii="Georgia" w:eastAsia="Georgia" w:hAnsi="Georgia" w:cs="Georgia"/>
        </w:rPr>
        <w:t>intentional collaboration with districts, Doane is able to guarantee employment to each of their teacher education graduates.</w:t>
      </w:r>
    </w:p>
    <w:p w14:paraId="0000002C" w14:textId="77777777" w:rsidR="00C1327D" w:rsidRDefault="00C1327D">
      <w:pPr>
        <w:jc w:val="both"/>
        <w:rPr>
          <w:rFonts w:ascii="Georgia" w:eastAsia="Georgia" w:hAnsi="Georgia" w:cs="Georgia"/>
        </w:rPr>
      </w:pPr>
    </w:p>
    <w:p w14:paraId="0000002D" w14:textId="6BE9FB55" w:rsidR="00C1327D" w:rsidRDefault="00B65CB4" w:rsidP="002D68C5">
      <w:pPr>
        <w:numPr>
          <w:ilvl w:val="0"/>
          <w:numId w:val="7"/>
        </w:numPr>
        <w:jc w:val="both"/>
        <w:rPr>
          <w:rFonts w:ascii="Georgia" w:eastAsia="Georgia" w:hAnsi="Georgia" w:cs="Georgia"/>
        </w:rPr>
      </w:pPr>
      <w:r>
        <w:rPr>
          <w:rFonts w:ascii="Georgia" w:eastAsia="Georgia" w:hAnsi="Georgia" w:cs="Georgia"/>
          <w:i/>
        </w:rPr>
        <w:t>Recommendation:</w:t>
      </w:r>
      <w:r>
        <w:rPr>
          <w:rFonts w:ascii="Georgia" w:eastAsia="Georgia" w:hAnsi="Georgia" w:cs="Georgia"/>
        </w:rPr>
        <w:t xml:space="preserve"> </w:t>
      </w:r>
      <w:r w:rsidR="00EE561E">
        <w:rPr>
          <w:rFonts w:ascii="Georgia" w:eastAsia="Georgia" w:hAnsi="Georgia" w:cs="Georgia"/>
        </w:rPr>
        <w:t>T</w:t>
      </w:r>
      <w:r>
        <w:rPr>
          <w:rFonts w:ascii="Georgia" w:eastAsia="Georgia" w:hAnsi="Georgia" w:cs="Georgia"/>
        </w:rPr>
        <w:t>he Institute recommends that Nebraska</w:t>
      </w:r>
      <w:r w:rsidR="002D68C5">
        <w:rPr>
          <w:rFonts w:ascii="Georgia" w:eastAsia="Georgia" w:hAnsi="Georgia" w:cs="Georgia"/>
        </w:rPr>
        <w:t>’s survey of teacher shortages be upgraded.</w:t>
      </w:r>
      <w:r w:rsidR="00CE7076">
        <w:rPr>
          <w:rStyle w:val="FootnoteReference"/>
          <w:rFonts w:ascii="Georgia" w:eastAsia="Georgia" w:hAnsi="Georgia" w:cs="Georgia"/>
        </w:rPr>
        <w:footnoteReference w:id="17"/>
      </w:r>
      <w:r w:rsidR="002D68C5">
        <w:rPr>
          <w:rFonts w:ascii="Georgia" w:eastAsia="Georgia" w:hAnsi="Georgia" w:cs="Georgia"/>
        </w:rPr>
        <w:t xml:space="preserve"> Shortages should be reported by name of school districts, but more importantly, the charts should also include the actual numbers of teachers recruited in all certification areas in the previous year and the percentages in each case of </w:t>
      </w:r>
      <w:r w:rsidR="0016522C">
        <w:rPr>
          <w:rFonts w:ascii="Georgia" w:eastAsia="Georgia" w:hAnsi="Georgia" w:cs="Georgia"/>
        </w:rPr>
        <w:t xml:space="preserve">the hires of </w:t>
      </w:r>
      <w:r w:rsidR="002D68C5">
        <w:rPr>
          <w:rFonts w:ascii="Georgia" w:eastAsia="Georgia" w:hAnsi="Georgia" w:cs="Georgia"/>
        </w:rPr>
        <w:t xml:space="preserve">newly </w:t>
      </w:r>
      <w:r w:rsidR="002D68C5" w:rsidRPr="00CC27A3">
        <w:rPr>
          <w:rFonts w:ascii="Georgia" w:eastAsia="Georgia" w:hAnsi="Georgia" w:cs="Georgia"/>
          <w:i/>
          <w:iCs/>
        </w:rPr>
        <w:t>certified</w:t>
      </w:r>
      <w:r w:rsidR="002D68C5">
        <w:rPr>
          <w:rFonts w:ascii="Georgia" w:eastAsia="Georgia" w:hAnsi="Georgia" w:cs="Georgia"/>
        </w:rPr>
        <w:t xml:space="preserve"> </w:t>
      </w:r>
      <w:r w:rsidR="00FD448B">
        <w:rPr>
          <w:rFonts w:ascii="Georgia" w:eastAsia="Georgia" w:hAnsi="Georgia" w:cs="Georgia"/>
          <w:i/>
          <w:iCs/>
        </w:rPr>
        <w:t>versus</w:t>
      </w:r>
      <w:r w:rsidR="002D68C5">
        <w:rPr>
          <w:rFonts w:ascii="Georgia" w:eastAsia="Georgia" w:hAnsi="Georgia" w:cs="Georgia"/>
        </w:rPr>
        <w:t xml:space="preserve"> already</w:t>
      </w:r>
      <w:r w:rsidR="0016522C">
        <w:rPr>
          <w:rFonts w:ascii="Georgia" w:eastAsia="Georgia" w:hAnsi="Georgia" w:cs="Georgia"/>
        </w:rPr>
        <w:t>-</w:t>
      </w:r>
      <w:r w:rsidR="002D68C5">
        <w:rPr>
          <w:rFonts w:ascii="Georgia" w:eastAsia="Georgia" w:hAnsi="Georgia" w:cs="Georgia"/>
        </w:rPr>
        <w:t>employed</w:t>
      </w:r>
      <w:r w:rsidR="0016522C">
        <w:rPr>
          <w:rFonts w:ascii="Georgia" w:eastAsia="Georgia" w:hAnsi="Georgia" w:cs="Georgia"/>
        </w:rPr>
        <w:t xml:space="preserve">-elsewhere </w:t>
      </w:r>
      <w:r w:rsidR="002D68C5">
        <w:rPr>
          <w:rFonts w:ascii="Georgia" w:eastAsia="Georgia" w:hAnsi="Georgia" w:cs="Georgia"/>
        </w:rPr>
        <w:lastRenderedPageBreak/>
        <w:t xml:space="preserve">teachers. </w:t>
      </w:r>
      <w:r w:rsidRPr="002D68C5">
        <w:rPr>
          <w:rFonts w:ascii="Georgia" w:eastAsia="Georgia" w:hAnsi="Georgia" w:cs="Georgia"/>
        </w:rPr>
        <w:t xml:space="preserve">This would </w:t>
      </w:r>
      <w:r w:rsidR="00CF22B4" w:rsidRPr="002D68C5">
        <w:rPr>
          <w:rFonts w:ascii="Georgia" w:eastAsia="Georgia" w:hAnsi="Georgia" w:cs="Georgia"/>
        </w:rPr>
        <w:t xml:space="preserve">create greater clarity in the teacher recruitment pipeline </w:t>
      </w:r>
      <w:r w:rsidRPr="002D68C5">
        <w:rPr>
          <w:rFonts w:ascii="Georgia" w:eastAsia="Georgia" w:hAnsi="Georgia" w:cs="Georgia"/>
        </w:rPr>
        <w:t xml:space="preserve">while also </w:t>
      </w:r>
      <w:r w:rsidR="00CF22B4" w:rsidRPr="002D68C5">
        <w:rPr>
          <w:rFonts w:ascii="Georgia" w:eastAsia="Georgia" w:hAnsi="Georgia" w:cs="Georgia"/>
        </w:rPr>
        <w:t>increasing the likelihood of post-graduation</w:t>
      </w:r>
      <w:r w:rsidR="002D68C5">
        <w:rPr>
          <w:rFonts w:ascii="Georgia" w:eastAsia="Georgia" w:hAnsi="Georgia" w:cs="Georgia"/>
        </w:rPr>
        <w:t xml:space="preserve"> hiring for teacher candidates</w:t>
      </w:r>
      <w:r w:rsidRPr="002D68C5">
        <w:rPr>
          <w:rFonts w:ascii="Georgia" w:eastAsia="Georgia" w:hAnsi="Georgia" w:cs="Georgia"/>
        </w:rPr>
        <w:t>.</w:t>
      </w:r>
      <w:r>
        <w:rPr>
          <w:rFonts w:ascii="Georgia" w:eastAsia="Georgia" w:hAnsi="Georgia" w:cs="Georgia"/>
          <w:vertAlign w:val="superscript"/>
        </w:rPr>
        <w:footnoteReference w:id="18"/>
      </w:r>
      <w:r w:rsidRPr="002D68C5">
        <w:rPr>
          <w:rFonts w:ascii="Georgia" w:eastAsia="Georgia" w:hAnsi="Georgia" w:cs="Georgia"/>
        </w:rPr>
        <w:t xml:space="preserve"> </w:t>
      </w:r>
    </w:p>
    <w:p w14:paraId="797207D1" w14:textId="32E0366D" w:rsidR="002D68C5" w:rsidRPr="002D68C5" w:rsidRDefault="002D68C5" w:rsidP="002D68C5">
      <w:pPr>
        <w:numPr>
          <w:ilvl w:val="0"/>
          <w:numId w:val="7"/>
        </w:numPr>
        <w:jc w:val="both"/>
        <w:rPr>
          <w:rFonts w:ascii="Georgia" w:eastAsia="Georgia" w:hAnsi="Georgia" w:cs="Georgia"/>
        </w:rPr>
      </w:pPr>
      <w:r>
        <w:rPr>
          <w:rFonts w:ascii="Georgia" w:eastAsia="Georgia" w:hAnsi="Georgia" w:cs="Georgia"/>
          <w:i/>
        </w:rPr>
        <w:t>Recommendation:</w:t>
      </w:r>
      <w:r>
        <w:rPr>
          <w:rFonts w:ascii="Georgia" w:eastAsia="Georgia" w:hAnsi="Georgia" w:cs="Georgia"/>
        </w:rPr>
        <w:t xml:space="preserve"> The Institute recommends that the Department develop Guidelines for Teacher Preparation Program</w:t>
      </w:r>
      <w:r w:rsidR="00FD448B">
        <w:rPr>
          <w:rFonts w:ascii="Georgia" w:eastAsia="Georgia" w:hAnsi="Georgia" w:cs="Georgia"/>
        </w:rPr>
        <w:t>, i.e., s</w:t>
      </w:r>
      <w:r>
        <w:rPr>
          <w:rFonts w:ascii="Georgia" w:eastAsia="Georgia" w:hAnsi="Georgia" w:cs="Georgia"/>
        </w:rPr>
        <w:t xml:space="preserve">chool </w:t>
      </w:r>
      <w:r w:rsidR="00FD448B">
        <w:rPr>
          <w:rFonts w:ascii="Georgia" w:eastAsia="Georgia" w:hAnsi="Georgia" w:cs="Georgia"/>
        </w:rPr>
        <w:t>d</w:t>
      </w:r>
      <w:r>
        <w:rPr>
          <w:rFonts w:ascii="Georgia" w:eastAsia="Georgia" w:hAnsi="Georgia" w:cs="Georgia"/>
        </w:rPr>
        <w:t xml:space="preserve">istrict agreements that offer support for the rigorous clinical supervision of candidates and their readiness to teach the instructional materials used in that district. </w:t>
      </w:r>
    </w:p>
    <w:p w14:paraId="0000002E" w14:textId="77777777" w:rsidR="00C1327D" w:rsidRDefault="00C1327D">
      <w:pPr>
        <w:jc w:val="both"/>
        <w:rPr>
          <w:rFonts w:ascii="Georgia" w:eastAsia="Georgia" w:hAnsi="Georgia" w:cs="Georgia"/>
          <w:b/>
          <w:i/>
        </w:rPr>
      </w:pPr>
    </w:p>
    <w:p w14:paraId="638DA426" w14:textId="77777777" w:rsidR="00E405BB" w:rsidRDefault="00E405BB" w:rsidP="00E405BB">
      <w:pPr>
        <w:jc w:val="center"/>
        <w:rPr>
          <w:rFonts w:ascii="Georgia" w:eastAsia="Georgia" w:hAnsi="Georgia" w:cs="Georgia"/>
          <w:b/>
          <w:i/>
          <w:color w:val="3366FF"/>
        </w:rPr>
      </w:pPr>
      <w:r>
        <w:rPr>
          <w:rFonts w:ascii="Georgia" w:eastAsia="Georgia" w:hAnsi="Georgia" w:cs="Georgia"/>
          <w:b/>
          <w:i/>
          <w:color w:val="3366FF"/>
        </w:rPr>
        <w:t>Certification</w:t>
      </w:r>
    </w:p>
    <w:p w14:paraId="4BDF2A0F" w14:textId="77777777" w:rsidR="00E405BB" w:rsidRDefault="00E405BB" w:rsidP="00E405BB">
      <w:pPr>
        <w:jc w:val="both"/>
        <w:rPr>
          <w:rFonts w:ascii="Georgia" w:eastAsia="Georgia" w:hAnsi="Georgia" w:cs="Georgia"/>
        </w:rPr>
      </w:pPr>
    </w:p>
    <w:p w14:paraId="4B5D5CA3" w14:textId="77777777" w:rsidR="00E405BB" w:rsidRDefault="00E405BB" w:rsidP="00E405BB">
      <w:pPr>
        <w:jc w:val="both"/>
        <w:rPr>
          <w:rFonts w:ascii="Georgia" w:eastAsia="Georgia" w:hAnsi="Georgia" w:cs="Georgia"/>
        </w:rPr>
      </w:pPr>
      <w:r>
        <w:rPr>
          <w:rFonts w:ascii="Georgia" w:eastAsia="Georgia" w:hAnsi="Georgia" w:cs="Georgia"/>
        </w:rPr>
        <w:t>Nebraska currently offers Initial, Standard and Professional teaching certificates. To date, 131 Nebraska teachers have achieved National Board Certification, and there are currently 35 candidates for National Board Certification in Nebraska.</w:t>
      </w:r>
      <w:r>
        <w:rPr>
          <w:rFonts w:ascii="Georgia" w:eastAsia="Georgia" w:hAnsi="Georgia" w:cs="Georgia"/>
          <w:vertAlign w:val="superscript"/>
        </w:rPr>
        <w:footnoteReference w:id="19"/>
      </w:r>
    </w:p>
    <w:p w14:paraId="57B7B53A" w14:textId="77777777" w:rsidR="00E405BB" w:rsidRDefault="00E405BB" w:rsidP="00E405BB">
      <w:pPr>
        <w:jc w:val="both"/>
        <w:rPr>
          <w:rFonts w:ascii="Georgia" w:eastAsia="Georgia" w:hAnsi="Georgia" w:cs="Georgia"/>
        </w:rPr>
      </w:pPr>
    </w:p>
    <w:p w14:paraId="3DB04E02" w14:textId="5E94C305" w:rsidR="00E405BB" w:rsidRDefault="00E405BB" w:rsidP="00E405BB">
      <w:pPr>
        <w:numPr>
          <w:ilvl w:val="0"/>
          <w:numId w:val="2"/>
        </w:numPr>
        <w:jc w:val="both"/>
        <w:rPr>
          <w:rFonts w:ascii="Georgia" w:eastAsia="Georgia" w:hAnsi="Georgia" w:cs="Georgia"/>
        </w:rPr>
      </w:pPr>
      <w:r>
        <w:rPr>
          <w:rFonts w:ascii="Georgia" w:eastAsia="Georgia" w:hAnsi="Georgia" w:cs="Georgia"/>
          <w:i/>
        </w:rPr>
        <w:t xml:space="preserve">Recommendation: </w:t>
      </w:r>
      <w:r>
        <w:rPr>
          <w:rFonts w:ascii="Georgia" w:eastAsia="Georgia" w:hAnsi="Georgia" w:cs="Georgia"/>
        </w:rPr>
        <w:t xml:space="preserve">The Institute recommends that Nebraska offer professional certification through the National Board of Professional Teaching Standards, and that </w:t>
      </w:r>
      <w:r w:rsidR="00CF22B4">
        <w:rPr>
          <w:rFonts w:ascii="Georgia" w:eastAsia="Georgia" w:hAnsi="Georgia" w:cs="Georgia"/>
        </w:rPr>
        <w:t xml:space="preserve">the state </w:t>
      </w:r>
      <w:r w:rsidR="008D2F74">
        <w:rPr>
          <w:rFonts w:ascii="Georgia" w:eastAsia="Georgia" w:hAnsi="Georgia" w:cs="Georgia"/>
        </w:rPr>
        <w:t>supports the recognition of NBPTS certification through professional compensation steps both for first-time certification and re-certification five years afterwards.</w:t>
      </w:r>
      <w:r w:rsidR="00CF22B4">
        <w:rPr>
          <w:rFonts w:ascii="Georgia" w:eastAsia="Georgia" w:hAnsi="Georgia" w:cs="Georgia"/>
        </w:rPr>
        <w:t xml:space="preserve"> </w:t>
      </w:r>
      <w:r w:rsidR="008D2F74">
        <w:rPr>
          <w:rFonts w:ascii="Georgia" w:eastAsia="Georgia" w:hAnsi="Georgia" w:cs="Georgia"/>
        </w:rPr>
        <w:t>The</w:t>
      </w:r>
      <w:r>
        <w:rPr>
          <w:rFonts w:ascii="Georgia" w:eastAsia="Georgia" w:hAnsi="Georgia" w:cs="Georgia"/>
        </w:rPr>
        <w:t xml:space="preserve"> Institute recommends that teachers be National Board Certified to become a Master Teacher.</w:t>
      </w:r>
      <w:r>
        <w:rPr>
          <w:rFonts w:ascii="Georgia" w:eastAsia="Georgia" w:hAnsi="Georgia" w:cs="Georgia"/>
          <w:vertAlign w:val="superscript"/>
        </w:rPr>
        <w:footnoteReference w:id="20"/>
      </w:r>
      <w:r>
        <w:rPr>
          <w:rFonts w:ascii="Georgia" w:eastAsia="Georgia" w:hAnsi="Georgia" w:cs="Georgia"/>
        </w:rPr>
        <w:t xml:space="preserve"> </w:t>
      </w:r>
    </w:p>
    <w:p w14:paraId="32F1CA46" w14:textId="3875329B" w:rsidR="0009721A" w:rsidRPr="0009721A" w:rsidRDefault="0009721A" w:rsidP="0009721A">
      <w:pPr>
        <w:numPr>
          <w:ilvl w:val="0"/>
          <w:numId w:val="2"/>
        </w:numPr>
        <w:jc w:val="both"/>
        <w:rPr>
          <w:rFonts w:ascii="Georgia" w:eastAsia="Georgia" w:hAnsi="Georgia" w:cs="Georgia"/>
        </w:rPr>
      </w:pPr>
      <w:r>
        <w:rPr>
          <w:rFonts w:ascii="Georgia" w:eastAsia="Georgia" w:hAnsi="Georgia" w:cs="Georgia"/>
          <w:i/>
        </w:rPr>
        <w:t xml:space="preserve">Currently, Nebraska requirement </w:t>
      </w:r>
      <w:r w:rsidRPr="0009721A">
        <w:rPr>
          <w:rFonts w:ascii="Georgia" w:eastAsia="Georgia" w:hAnsi="Georgia" w:cs="Georgia"/>
          <w:i/>
          <w:iCs/>
        </w:rPr>
        <w:t>005.08C</w:t>
      </w:r>
      <w:r>
        <w:rPr>
          <w:rFonts w:ascii="Georgia" w:eastAsia="Georgia" w:hAnsi="Georgia" w:cs="Georgia"/>
          <w:i/>
          <w:iCs/>
        </w:rPr>
        <w:t xml:space="preserve"> states that</w:t>
      </w:r>
      <w:r w:rsidRPr="0009721A">
        <w:rPr>
          <w:rFonts w:ascii="Georgia" w:eastAsia="Georgia" w:hAnsi="Georgia" w:cs="Georgia"/>
          <w:i/>
          <w:iCs/>
        </w:rPr>
        <w:t xml:space="preserve"> </w:t>
      </w:r>
      <w:r>
        <w:rPr>
          <w:rFonts w:ascii="Georgia" w:eastAsia="Georgia" w:hAnsi="Georgia" w:cs="Georgia"/>
          <w:i/>
          <w:iCs/>
        </w:rPr>
        <w:t>“</w:t>
      </w:r>
      <w:r w:rsidRPr="0009721A">
        <w:rPr>
          <w:rFonts w:ascii="Georgia" w:eastAsia="Georgia" w:hAnsi="Georgia" w:cs="Georgia"/>
          <w:i/>
          <w:iCs/>
        </w:rPr>
        <w:t>Within ten (10) years prior to the date of application, </w:t>
      </w:r>
      <w:r>
        <w:rPr>
          <w:rFonts w:ascii="Georgia" w:eastAsia="Georgia" w:hAnsi="Georgia" w:cs="Georgia"/>
          <w:i/>
          <w:iCs/>
        </w:rPr>
        <w:t xml:space="preserve">[candidates must] </w:t>
      </w:r>
      <w:r w:rsidRPr="0009721A">
        <w:rPr>
          <w:rFonts w:ascii="Georgia" w:eastAsia="Georgia" w:hAnsi="Georgia" w:cs="Georgia"/>
          <w:b/>
          <w:bCs/>
          <w:i/>
          <w:iCs/>
        </w:rPr>
        <w:t>have received a Master’s degree</w:t>
      </w:r>
      <w:r w:rsidRPr="0009721A">
        <w:rPr>
          <w:rFonts w:ascii="Georgia" w:eastAsia="Georgia" w:hAnsi="Georgia" w:cs="Georgia"/>
          <w:i/>
          <w:iCs/>
        </w:rPr>
        <w:t> from an approved standard institution of higher education in Curriculum and Instruction,</w:t>
      </w:r>
      <w:r>
        <w:rPr>
          <w:rFonts w:ascii="Georgia" w:eastAsia="Georgia" w:hAnsi="Georgia" w:cs="Georgia"/>
          <w:i/>
          <w:iCs/>
        </w:rPr>
        <w:t xml:space="preserve"> </w:t>
      </w:r>
      <w:r w:rsidRPr="0009721A">
        <w:rPr>
          <w:rFonts w:ascii="Georgia" w:eastAsia="Georgia" w:hAnsi="Georgia" w:cs="Georgia"/>
          <w:i/>
          <w:iCs/>
        </w:rPr>
        <w:t>Educational Technology, Special Education, or in the applicant’s content area; </w:t>
      </w:r>
      <w:r w:rsidRPr="0009721A">
        <w:rPr>
          <w:rFonts w:ascii="Georgia" w:eastAsia="Georgia" w:hAnsi="Georgia" w:cs="Georgia"/>
          <w:b/>
          <w:bCs/>
          <w:i/>
          <w:iCs/>
        </w:rPr>
        <w:t>or 005.08D Hold current credentials from a credentialing organization</w:t>
      </w:r>
      <w:r w:rsidRPr="0009721A">
        <w:rPr>
          <w:rFonts w:ascii="Georgia" w:eastAsia="Georgia" w:hAnsi="Georgia" w:cs="Georgia"/>
          <w:i/>
          <w:iCs/>
        </w:rPr>
        <w:t> approved by the Department pursuant to 92 NAC 22; </w:t>
      </w:r>
      <w:r w:rsidRPr="0009721A">
        <w:rPr>
          <w:rFonts w:ascii="Georgia" w:eastAsia="Georgia" w:hAnsi="Georgia" w:cs="Georgia"/>
          <w:b/>
          <w:bCs/>
          <w:i/>
          <w:iCs/>
        </w:rPr>
        <w:t>or 005.08E Have received a six (6) year specialist’s certificate or a doctorate degree</w:t>
      </w:r>
      <w:r w:rsidRPr="0009721A">
        <w:rPr>
          <w:rFonts w:ascii="Georgia" w:eastAsia="Georgia" w:hAnsi="Georgia" w:cs="Georgia"/>
          <w:i/>
          <w:iCs/>
        </w:rPr>
        <w:t> from a standard institution of higher education in an area related to the applicant’s content area completed at the</w:t>
      </w:r>
      <w:r>
        <w:rPr>
          <w:rFonts w:ascii="Georgia" w:eastAsia="Georgia" w:hAnsi="Georgia" w:cs="Georgia"/>
          <w:i/>
          <w:iCs/>
        </w:rPr>
        <w:t xml:space="preserve"> </w:t>
      </w:r>
      <w:r w:rsidRPr="0009721A">
        <w:rPr>
          <w:rFonts w:ascii="Georgia" w:eastAsia="Georgia" w:hAnsi="Georgia" w:cs="Georgia"/>
          <w:i/>
          <w:iCs/>
        </w:rPr>
        <w:t>Master’s degree level</w:t>
      </w:r>
      <w:r w:rsidR="00672673">
        <w:rPr>
          <w:rFonts w:ascii="Georgia" w:eastAsia="Georgia" w:hAnsi="Georgia" w:cs="Georgia"/>
          <w:i/>
          <w:iCs/>
        </w:rPr>
        <w:t xml:space="preserve"> [emphasis added].</w:t>
      </w:r>
      <w:r w:rsidR="00CC27A3">
        <w:rPr>
          <w:rFonts w:ascii="Georgia" w:eastAsia="Georgia" w:hAnsi="Georgia" w:cs="Georgia"/>
          <w:i/>
          <w:iCs/>
        </w:rPr>
        <w:t>”</w:t>
      </w:r>
      <w:r w:rsidR="00672673">
        <w:rPr>
          <w:rFonts w:ascii="Georgia" w:eastAsia="Georgia" w:hAnsi="Georgia" w:cs="Georgia"/>
          <w:i/>
          <w:iCs/>
        </w:rPr>
        <w:t xml:space="preserve"> </w:t>
      </w:r>
      <w:r>
        <w:rPr>
          <w:rFonts w:ascii="Georgia" w:eastAsia="Georgia" w:hAnsi="Georgia" w:cs="Georgia"/>
        </w:rPr>
        <w:t>None of these requirements ha</w:t>
      </w:r>
      <w:r w:rsidR="00FD448B">
        <w:rPr>
          <w:rFonts w:ascii="Georgia" w:eastAsia="Georgia" w:hAnsi="Georgia" w:cs="Georgia"/>
        </w:rPr>
        <w:t>s</w:t>
      </w:r>
      <w:r>
        <w:rPr>
          <w:rFonts w:ascii="Georgia" w:eastAsia="Georgia" w:hAnsi="Georgia" w:cs="Georgia"/>
        </w:rPr>
        <w:t xml:space="preserve"> any demonstrated relationship to stronger teaching performance. The Institute recommends that</w:t>
      </w:r>
      <w:r w:rsidR="00FD448B">
        <w:rPr>
          <w:rFonts w:ascii="Georgia" w:eastAsia="Georgia" w:hAnsi="Georgia" w:cs="Georgia"/>
        </w:rPr>
        <w:t xml:space="preserve"> </w:t>
      </w:r>
      <w:r>
        <w:rPr>
          <w:rFonts w:ascii="Georgia" w:eastAsia="Georgia" w:hAnsi="Georgia" w:cs="Georgia"/>
        </w:rPr>
        <w:t xml:space="preserve">Nebraska replace them all with NBPTS certification within the next five years. If that is not possible, then the state should offer only the Master’s degree + a demonstration of strong teaching performance or an NBPTS + a demonstration of strong teaching performance as pathways to a Professional Teaching Certificate. </w:t>
      </w:r>
    </w:p>
    <w:p w14:paraId="0256D99D" w14:textId="77777777" w:rsidR="0009721A" w:rsidRDefault="0009721A" w:rsidP="0009721A">
      <w:pPr>
        <w:jc w:val="center"/>
        <w:rPr>
          <w:rFonts w:ascii="Georgia" w:eastAsia="Georgia" w:hAnsi="Georgia" w:cs="Georgia"/>
        </w:rPr>
      </w:pPr>
    </w:p>
    <w:p w14:paraId="0EF8381F" w14:textId="38633B16" w:rsidR="00E405BB" w:rsidRDefault="00E405BB" w:rsidP="00E405BB">
      <w:pPr>
        <w:jc w:val="center"/>
        <w:rPr>
          <w:rFonts w:ascii="Georgia" w:eastAsia="Georgia" w:hAnsi="Georgia" w:cs="Georgia"/>
          <w:b/>
          <w:i/>
          <w:color w:val="3366FF"/>
        </w:rPr>
      </w:pPr>
    </w:p>
    <w:p w14:paraId="51DE9AF9" w14:textId="77777777" w:rsidR="00FB384C" w:rsidRDefault="00FB384C" w:rsidP="00E405BB">
      <w:pPr>
        <w:jc w:val="center"/>
        <w:rPr>
          <w:rFonts w:ascii="Georgia" w:eastAsia="Georgia" w:hAnsi="Georgia" w:cs="Georgia"/>
          <w:b/>
          <w:i/>
          <w:color w:val="3366FF"/>
        </w:rPr>
      </w:pPr>
    </w:p>
    <w:p w14:paraId="26B62FB9" w14:textId="6760FDDF" w:rsidR="00E405BB" w:rsidRDefault="00E405BB" w:rsidP="00E405BB">
      <w:pPr>
        <w:jc w:val="center"/>
        <w:rPr>
          <w:rFonts w:ascii="Georgia" w:eastAsia="Georgia" w:hAnsi="Georgia" w:cs="Georgia"/>
          <w:b/>
          <w:i/>
          <w:color w:val="3366FF"/>
        </w:rPr>
      </w:pPr>
      <w:r>
        <w:rPr>
          <w:rFonts w:ascii="Georgia" w:eastAsia="Georgia" w:hAnsi="Georgia" w:cs="Georgia"/>
          <w:b/>
          <w:i/>
          <w:color w:val="3366FF"/>
        </w:rPr>
        <w:lastRenderedPageBreak/>
        <w:t>Alternative Certification</w:t>
      </w:r>
    </w:p>
    <w:p w14:paraId="19719C71" w14:textId="77777777" w:rsidR="00E405BB" w:rsidRDefault="00E405BB" w:rsidP="00E405BB">
      <w:pPr>
        <w:jc w:val="center"/>
        <w:rPr>
          <w:rFonts w:ascii="Georgia" w:eastAsia="Georgia" w:hAnsi="Georgia" w:cs="Georgia"/>
          <w:b/>
          <w:i/>
          <w:color w:val="3366FF"/>
        </w:rPr>
      </w:pPr>
    </w:p>
    <w:p w14:paraId="00000030" w14:textId="279E6AE6" w:rsidR="00C1327D" w:rsidRDefault="00B65CB4">
      <w:pPr>
        <w:jc w:val="both"/>
        <w:rPr>
          <w:rFonts w:ascii="Georgia" w:eastAsia="Georgia" w:hAnsi="Georgia" w:cs="Georgia"/>
          <w:highlight w:val="white"/>
        </w:rPr>
      </w:pPr>
      <w:r>
        <w:rPr>
          <w:rFonts w:ascii="Georgia" w:eastAsia="Georgia" w:hAnsi="Georgia" w:cs="Georgia"/>
          <w:highlight w:val="white"/>
        </w:rPr>
        <w:t xml:space="preserve">There is only one </w:t>
      </w:r>
      <w:r w:rsidR="00E405BB">
        <w:rPr>
          <w:rFonts w:ascii="Georgia" w:eastAsia="Georgia" w:hAnsi="Georgia" w:cs="Georgia"/>
          <w:highlight w:val="white"/>
        </w:rPr>
        <w:t>alternative certification</w:t>
      </w:r>
      <w:r>
        <w:rPr>
          <w:rFonts w:ascii="Georgia" w:eastAsia="Georgia" w:hAnsi="Georgia" w:cs="Georgia"/>
          <w:highlight w:val="white"/>
        </w:rPr>
        <w:t xml:space="preserve"> route in Nebraska, housed at Kearney, which makes up a relatively small (0.03%) portion of the labor force. The program is called the Transitional Certification Program (TCP) and requires an undergraduate cumulative GPA of 3.0 or above, </w:t>
      </w:r>
      <w:r w:rsidR="00EE561E">
        <w:rPr>
          <w:rFonts w:ascii="Georgia" w:eastAsia="Georgia" w:hAnsi="Georgia" w:cs="Georgia"/>
          <w:highlight w:val="white"/>
        </w:rPr>
        <w:t>or</w:t>
      </w:r>
      <w:r>
        <w:rPr>
          <w:rFonts w:ascii="Georgia" w:eastAsia="Georgia" w:hAnsi="Georgia" w:cs="Georgia"/>
          <w:highlight w:val="white"/>
        </w:rPr>
        <w:t xml:space="preserve"> </w:t>
      </w:r>
      <w:proofErr w:type="spellStart"/>
      <w:proofErr w:type="gramStart"/>
      <w:r>
        <w:rPr>
          <w:rFonts w:ascii="Georgia" w:eastAsia="Georgia" w:hAnsi="Georgia" w:cs="Georgia"/>
          <w:highlight w:val="white"/>
        </w:rPr>
        <w:t>Masters</w:t>
      </w:r>
      <w:proofErr w:type="spellEnd"/>
      <w:proofErr w:type="gramEnd"/>
      <w:r>
        <w:rPr>
          <w:rFonts w:ascii="Georgia" w:eastAsia="Georgia" w:hAnsi="Georgia" w:cs="Georgia"/>
          <w:highlight w:val="white"/>
        </w:rPr>
        <w:t xml:space="preserve"> degree, </w:t>
      </w:r>
      <w:r w:rsidR="00EE561E">
        <w:rPr>
          <w:rFonts w:ascii="Georgia" w:eastAsia="Georgia" w:hAnsi="Georgia" w:cs="Georgia"/>
          <w:highlight w:val="white"/>
        </w:rPr>
        <w:t>or</w:t>
      </w:r>
      <w:r>
        <w:rPr>
          <w:rFonts w:ascii="Georgia" w:eastAsia="Georgia" w:hAnsi="Georgia" w:cs="Georgia"/>
          <w:highlight w:val="white"/>
        </w:rPr>
        <w:t xml:space="preserve"> passing scores on the Praxis Core tests for admission, and Praxis Core for formal admission. It includes a “minimum of 100 clock hours (approximately 25-35 hours per semester) of pre-student teaching field experience” and “a student teaching experience. Student teaching is an all-day (8 AM - 4 PM)/all-semester (16 weeks minimum) experience in a PK-12 school setting. The vast majority of student teaching placements happen between the months of August and May.”</w:t>
      </w:r>
      <w:r>
        <w:rPr>
          <w:rFonts w:ascii="Georgia" w:eastAsia="Georgia" w:hAnsi="Georgia" w:cs="Georgia"/>
          <w:highlight w:val="white"/>
          <w:vertAlign w:val="superscript"/>
        </w:rPr>
        <w:footnoteReference w:id="21"/>
      </w:r>
    </w:p>
    <w:p w14:paraId="00000031" w14:textId="77777777" w:rsidR="00C1327D" w:rsidRDefault="00C1327D">
      <w:pPr>
        <w:jc w:val="both"/>
        <w:rPr>
          <w:rFonts w:ascii="Georgia" w:eastAsia="Georgia" w:hAnsi="Georgia" w:cs="Georgia"/>
          <w:highlight w:val="white"/>
        </w:rPr>
      </w:pPr>
    </w:p>
    <w:p w14:paraId="00000032" w14:textId="316CD26E" w:rsidR="00C1327D" w:rsidRDefault="00B65CB4">
      <w:pPr>
        <w:numPr>
          <w:ilvl w:val="0"/>
          <w:numId w:val="12"/>
        </w:numPr>
        <w:jc w:val="both"/>
        <w:rPr>
          <w:rFonts w:ascii="Georgia" w:eastAsia="Georgia" w:hAnsi="Georgia" w:cs="Georgia"/>
          <w:highlight w:val="white"/>
        </w:rPr>
      </w:pPr>
      <w:r>
        <w:rPr>
          <w:rFonts w:ascii="Georgia" w:eastAsia="Georgia" w:hAnsi="Georgia" w:cs="Georgia"/>
          <w:i/>
          <w:highlight w:val="white"/>
        </w:rPr>
        <w:t>Recommendation:</w:t>
      </w:r>
      <w:r>
        <w:rPr>
          <w:rFonts w:ascii="Georgia" w:eastAsia="Georgia" w:hAnsi="Georgia" w:cs="Georgia"/>
          <w:highlight w:val="white"/>
        </w:rPr>
        <w:t xml:space="preserve"> </w:t>
      </w:r>
      <w:r w:rsidR="00537F66">
        <w:rPr>
          <w:rFonts w:ascii="Georgia" w:eastAsia="Georgia" w:hAnsi="Georgia" w:cs="Georgia"/>
          <w:highlight w:val="white"/>
        </w:rPr>
        <w:t xml:space="preserve">These are very strong criteria. Given evidence of teacher shortage, </w:t>
      </w:r>
      <w:r w:rsidR="00A8724F">
        <w:rPr>
          <w:rFonts w:ascii="Georgia" w:eastAsia="Georgia" w:hAnsi="Georgia" w:cs="Georgia"/>
          <w:highlight w:val="white"/>
        </w:rPr>
        <w:t>t</w:t>
      </w:r>
      <w:r>
        <w:rPr>
          <w:rFonts w:ascii="Georgia" w:eastAsia="Georgia" w:hAnsi="Georgia" w:cs="Georgia"/>
          <w:highlight w:val="white"/>
        </w:rPr>
        <w:t>he Institute recommends</w:t>
      </w:r>
      <w:r w:rsidR="00537F66">
        <w:rPr>
          <w:rFonts w:ascii="Georgia" w:eastAsia="Georgia" w:hAnsi="Georgia" w:cs="Georgia"/>
          <w:highlight w:val="white"/>
        </w:rPr>
        <w:t xml:space="preserve"> that the state explore supporting hybrid models of teacher preparation that would involve “gradual release</w:t>
      </w:r>
      <w:r w:rsidR="00A8724F">
        <w:rPr>
          <w:rFonts w:ascii="Georgia" w:eastAsia="Georgia" w:hAnsi="Georgia" w:cs="Georgia"/>
          <w:highlight w:val="white"/>
        </w:rPr>
        <w:t>,</w:t>
      </w:r>
      <w:r w:rsidR="00537F66">
        <w:rPr>
          <w:rFonts w:ascii="Georgia" w:eastAsia="Georgia" w:hAnsi="Georgia" w:cs="Georgia"/>
          <w:highlight w:val="white"/>
        </w:rPr>
        <w:t xml:space="preserve">” whereby after an intense summer of preparation, students are given </w:t>
      </w:r>
      <w:r w:rsidR="00011E94">
        <w:rPr>
          <w:rFonts w:ascii="Georgia" w:eastAsia="Georgia" w:hAnsi="Georgia" w:cs="Georgia"/>
          <w:highlight w:val="white"/>
        </w:rPr>
        <w:t xml:space="preserve">at most </w:t>
      </w:r>
      <w:r w:rsidR="00537F66">
        <w:rPr>
          <w:rFonts w:ascii="Georgia" w:eastAsia="Georgia" w:hAnsi="Georgia" w:cs="Georgia"/>
          <w:highlight w:val="white"/>
        </w:rPr>
        <w:t xml:space="preserve">one course to teach in the fall </w:t>
      </w:r>
      <w:r w:rsidR="00C118A8">
        <w:rPr>
          <w:rFonts w:ascii="Georgia" w:eastAsia="Georgia" w:hAnsi="Georgia" w:cs="Georgia"/>
          <w:highlight w:val="white"/>
        </w:rPr>
        <w:t xml:space="preserve">(zero would be preferable) </w:t>
      </w:r>
      <w:r w:rsidR="00537F66">
        <w:rPr>
          <w:rFonts w:ascii="Georgia" w:eastAsia="Georgia" w:hAnsi="Georgia" w:cs="Georgia"/>
          <w:highlight w:val="white"/>
        </w:rPr>
        <w:t xml:space="preserve">and two in the spring. </w:t>
      </w:r>
      <w:r w:rsidR="00011E94">
        <w:rPr>
          <w:rFonts w:ascii="Georgia" w:eastAsia="Georgia" w:hAnsi="Georgia" w:cs="Georgia"/>
          <w:highlight w:val="white"/>
        </w:rPr>
        <w:t xml:space="preserve">This is less than the full-time load that Alternative Certification candidates currently undertake – but research shows that teaching a full load while trying to learn the craft of teaching is damaging (on average) to student learning outcomes. A reduced load </w:t>
      </w:r>
      <w:r w:rsidR="00C118A8">
        <w:rPr>
          <w:rFonts w:ascii="Georgia" w:eastAsia="Georgia" w:hAnsi="Georgia" w:cs="Georgia"/>
          <w:highlight w:val="white"/>
        </w:rPr>
        <w:t xml:space="preserve">is a positive compromise and can be </w:t>
      </w:r>
      <w:r w:rsidR="00636B77">
        <w:rPr>
          <w:rFonts w:ascii="Georgia" w:eastAsia="Georgia" w:hAnsi="Georgia" w:cs="Georgia"/>
          <w:highlight w:val="white"/>
        </w:rPr>
        <w:t xml:space="preserve">a gateway to the </w:t>
      </w:r>
      <w:r w:rsidR="00C118A8">
        <w:rPr>
          <w:rFonts w:ascii="Georgia" w:eastAsia="Georgia" w:hAnsi="Georgia" w:cs="Georgia"/>
          <w:highlight w:val="white"/>
        </w:rPr>
        <w:t xml:space="preserve">full one-year </w:t>
      </w:r>
      <w:r w:rsidR="00636B77">
        <w:rPr>
          <w:rFonts w:ascii="Georgia" w:eastAsia="Georgia" w:hAnsi="Georgia" w:cs="Georgia"/>
          <w:highlight w:val="white"/>
        </w:rPr>
        <w:t xml:space="preserve">residency requirement. </w:t>
      </w:r>
      <w:r w:rsidR="00C118A8">
        <w:rPr>
          <w:rFonts w:ascii="Georgia" w:eastAsia="Georgia" w:hAnsi="Georgia" w:cs="Georgia"/>
          <w:highlight w:val="white"/>
        </w:rPr>
        <w:t>In that requirement, it is also possible for candidates to do some spring semester teaching.</w:t>
      </w:r>
    </w:p>
    <w:p w14:paraId="00000038" w14:textId="1DDEA918" w:rsidR="00C1327D" w:rsidRPr="00E405BB" w:rsidRDefault="00C1327D" w:rsidP="00E405BB">
      <w:pPr>
        <w:rPr>
          <w:rFonts w:ascii="Georgia" w:eastAsia="Georgia" w:hAnsi="Georgia" w:cs="Georgia"/>
        </w:rPr>
      </w:pPr>
    </w:p>
    <w:p w14:paraId="4C0FF81B" w14:textId="4F853097" w:rsidR="00E405BB" w:rsidRDefault="00E405BB" w:rsidP="00E405BB">
      <w:pPr>
        <w:jc w:val="center"/>
        <w:rPr>
          <w:rFonts w:ascii="Georgia" w:eastAsia="Georgia" w:hAnsi="Georgia" w:cs="Georgia"/>
          <w:b/>
          <w:i/>
          <w:color w:val="3366FF"/>
        </w:rPr>
      </w:pPr>
      <w:r w:rsidRPr="00FE2584">
        <w:rPr>
          <w:rFonts w:ascii="Georgia" w:eastAsia="Georgia" w:hAnsi="Georgia" w:cs="Georgia"/>
          <w:b/>
          <w:i/>
          <w:color w:val="3366FF"/>
        </w:rPr>
        <w:t>Competency</w:t>
      </w:r>
      <w:r>
        <w:rPr>
          <w:rFonts w:ascii="Georgia" w:eastAsia="Georgia" w:hAnsi="Georgia" w:cs="Georgia"/>
          <w:b/>
          <w:i/>
          <w:color w:val="3366FF"/>
        </w:rPr>
        <w:t xml:space="preserve"> &amp; Standards Review</w:t>
      </w:r>
    </w:p>
    <w:p w14:paraId="43A5F2DD" w14:textId="5062D23D" w:rsidR="00FE2584" w:rsidRDefault="00FE2584" w:rsidP="00CC27A3">
      <w:pPr>
        <w:jc w:val="both"/>
        <w:rPr>
          <w:rFonts w:ascii="Georgia" w:eastAsia="Georgia" w:hAnsi="Georgia" w:cs="Georgia"/>
          <w:b/>
          <w:i/>
          <w:color w:val="3366FF"/>
        </w:rPr>
      </w:pPr>
    </w:p>
    <w:p w14:paraId="7A2852B6" w14:textId="1F5FF604" w:rsidR="00FE2584" w:rsidRPr="00FE2584" w:rsidRDefault="00FE2584" w:rsidP="00CC27A3">
      <w:pPr>
        <w:jc w:val="both"/>
        <w:rPr>
          <w:rFonts w:ascii="Georgia" w:eastAsia="Georgia" w:hAnsi="Georgia" w:cs="Georgia"/>
          <w:bCs/>
          <w:iCs/>
        </w:rPr>
      </w:pPr>
      <w:r>
        <w:rPr>
          <w:rFonts w:ascii="Georgia" w:eastAsia="Georgia" w:hAnsi="Georgia" w:cs="Georgia"/>
          <w:bCs/>
          <w:iCs/>
        </w:rPr>
        <w:t>There are a number of different documents that – in fact or potentially – reference what future public</w:t>
      </w:r>
      <w:r w:rsidR="00C118A8">
        <w:rPr>
          <w:rFonts w:ascii="Georgia" w:eastAsia="Georgia" w:hAnsi="Georgia" w:cs="Georgia"/>
          <w:bCs/>
          <w:iCs/>
        </w:rPr>
        <w:t>-</w:t>
      </w:r>
      <w:r>
        <w:rPr>
          <w:rFonts w:ascii="Georgia" w:eastAsia="Georgia" w:hAnsi="Georgia" w:cs="Georgia"/>
          <w:bCs/>
          <w:iCs/>
        </w:rPr>
        <w:t>school teachers in Nebraska are expected to know and/or be able to do effectively</w:t>
      </w:r>
      <w:r w:rsidR="00A8724F">
        <w:rPr>
          <w:rFonts w:ascii="Georgia" w:eastAsia="Georgia" w:hAnsi="Georgia" w:cs="Georgia"/>
          <w:bCs/>
          <w:iCs/>
        </w:rPr>
        <w:t>.</w:t>
      </w:r>
      <w:r>
        <w:rPr>
          <w:rFonts w:ascii="Georgia" w:eastAsia="Georgia" w:hAnsi="Georgia" w:cs="Georgia"/>
          <w:bCs/>
          <w:iCs/>
        </w:rPr>
        <w:t xml:space="preserve"> It is not always clear which documents take precedence, nor exactly what the relationship is between them. Let’s review:</w:t>
      </w:r>
    </w:p>
    <w:p w14:paraId="39C370C2" w14:textId="1F6B93BB" w:rsidR="00FE2584" w:rsidRDefault="00FE2584" w:rsidP="00CC27A3">
      <w:pPr>
        <w:jc w:val="both"/>
        <w:rPr>
          <w:rFonts w:ascii="Georgia" w:eastAsia="Georgia" w:hAnsi="Georgia" w:cs="Georgia"/>
          <w:b/>
          <w:i/>
          <w:color w:val="3366FF"/>
        </w:rPr>
      </w:pPr>
    </w:p>
    <w:p w14:paraId="48698D2B" w14:textId="3C65D6F8" w:rsidR="00FE2584" w:rsidRPr="00FE2584" w:rsidRDefault="00FE2584" w:rsidP="00CC27A3">
      <w:pPr>
        <w:jc w:val="both"/>
        <w:rPr>
          <w:rFonts w:ascii="Georgia" w:eastAsia="Georgia" w:hAnsi="Georgia" w:cs="Georgia"/>
          <w:iCs/>
        </w:rPr>
      </w:pPr>
      <w:r>
        <w:rPr>
          <w:rFonts w:ascii="Georgia" w:eastAsia="Georgia" w:hAnsi="Georgia" w:cs="Georgia"/>
          <w:iCs/>
        </w:rPr>
        <w:t xml:space="preserve">First, </w:t>
      </w:r>
      <w:r w:rsidRPr="00FE2584">
        <w:rPr>
          <w:rFonts w:ascii="Georgia" w:eastAsia="Georgia" w:hAnsi="Georgia" w:cs="Georgia"/>
          <w:iCs/>
        </w:rPr>
        <w:t>Rule 20 (revised 2014</w:t>
      </w:r>
      <w:r w:rsidR="00A8724F">
        <w:rPr>
          <w:rFonts w:ascii="Georgia" w:eastAsia="Georgia" w:hAnsi="Georgia" w:cs="Georgia"/>
          <w:iCs/>
        </w:rPr>
        <w:t>),</w:t>
      </w:r>
      <w:r w:rsidR="00E80B63" w:rsidRPr="00E80B63">
        <w:rPr>
          <w:rStyle w:val="FootnoteReference"/>
          <w:rFonts w:ascii="Georgia" w:eastAsia="Georgia" w:hAnsi="Georgia" w:cs="Georgia"/>
          <w:iCs/>
        </w:rPr>
        <w:t xml:space="preserve"> </w:t>
      </w:r>
      <w:r w:rsidR="00E80B63">
        <w:rPr>
          <w:rStyle w:val="FootnoteReference"/>
          <w:rFonts w:ascii="Georgia" w:eastAsia="Georgia" w:hAnsi="Georgia" w:cs="Georgia"/>
          <w:iCs/>
        </w:rPr>
        <w:footnoteReference w:id="22"/>
      </w:r>
      <w:r w:rsidRPr="00FE2584">
        <w:rPr>
          <w:rFonts w:ascii="Georgia" w:eastAsia="Georgia" w:hAnsi="Georgia" w:cs="Georgia"/>
          <w:iCs/>
        </w:rPr>
        <w:t xml:space="preserve"> </w:t>
      </w:r>
      <w:r>
        <w:rPr>
          <w:rFonts w:ascii="Georgia" w:eastAsia="Georgia" w:hAnsi="Georgia" w:cs="Georgia"/>
          <w:iCs/>
        </w:rPr>
        <w:t>which has regulatory and thus statutory authority</w:t>
      </w:r>
      <w:r w:rsidRPr="00FE2584">
        <w:rPr>
          <w:rFonts w:ascii="Georgia" w:eastAsia="Georgia" w:hAnsi="Georgia" w:cs="Georgia"/>
          <w:iCs/>
        </w:rPr>
        <w:t>, is a general blueprint for approving teacher education programs</w:t>
      </w:r>
      <w:r>
        <w:rPr>
          <w:rFonts w:ascii="Georgia" w:eastAsia="Georgia" w:hAnsi="Georgia" w:cs="Georgia"/>
          <w:iCs/>
        </w:rPr>
        <w:t>. The text lays out some</w:t>
      </w:r>
      <w:r w:rsidRPr="00FE2584">
        <w:rPr>
          <w:rFonts w:ascii="Georgia" w:eastAsia="Georgia" w:hAnsi="Georgia" w:cs="Georgia"/>
          <w:iCs/>
        </w:rPr>
        <w:t xml:space="preserve"> </w:t>
      </w:r>
      <w:r w:rsidR="004D6247">
        <w:rPr>
          <w:rFonts w:ascii="Georgia" w:eastAsia="Georgia" w:hAnsi="Georgia" w:cs="Georgia"/>
          <w:iCs/>
        </w:rPr>
        <w:t>broad</w:t>
      </w:r>
      <w:r>
        <w:rPr>
          <w:rFonts w:ascii="Georgia" w:eastAsia="Georgia" w:hAnsi="Georgia" w:cs="Georgia"/>
          <w:iCs/>
        </w:rPr>
        <w:t xml:space="preserve"> domains, </w:t>
      </w:r>
      <w:r w:rsidRPr="00FE2584">
        <w:rPr>
          <w:rFonts w:ascii="Georgia" w:eastAsia="Georgia" w:hAnsi="Georgia" w:cs="Georgia"/>
          <w:iCs/>
        </w:rPr>
        <w:t xml:space="preserve">(specifically: General Education Coursework, Professional Education Coursework, Student Development, Learning Differences, Learning Environments, Content Knowledge, Application of Content, Assessment, Planning for Instruction, Instructional Strategies, Professional Learning and Ethical Practice, Leadership and Collaboration, Human Relations, Special Education, Field Experience Coursework, pp. 14-16), </w:t>
      </w:r>
      <w:r>
        <w:rPr>
          <w:rFonts w:ascii="Georgia" w:eastAsia="Georgia" w:hAnsi="Georgia" w:cs="Georgia"/>
          <w:iCs/>
        </w:rPr>
        <w:t>but Rule 20 does not lay out any</w:t>
      </w:r>
      <w:r w:rsidRPr="00FE2584">
        <w:rPr>
          <w:rFonts w:ascii="Georgia" w:eastAsia="Georgia" w:hAnsi="Georgia" w:cs="Georgia"/>
          <w:iCs/>
        </w:rPr>
        <w:t xml:space="preserve"> specifics of content or competencies. </w:t>
      </w:r>
    </w:p>
    <w:p w14:paraId="145995D9" w14:textId="77777777" w:rsidR="00FE2584" w:rsidRPr="00FE2584" w:rsidRDefault="00FE2584" w:rsidP="00CC27A3">
      <w:pPr>
        <w:jc w:val="both"/>
        <w:rPr>
          <w:rFonts w:ascii="Georgia" w:eastAsia="Georgia" w:hAnsi="Georgia" w:cs="Georgia"/>
          <w:iCs/>
        </w:rPr>
      </w:pPr>
    </w:p>
    <w:p w14:paraId="0C62E08B" w14:textId="37BC86BB" w:rsidR="00FE2584" w:rsidRPr="00FE2584" w:rsidRDefault="009071F0" w:rsidP="00CC27A3">
      <w:pPr>
        <w:jc w:val="both"/>
        <w:rPr>
          <w:rFonts w:ascii="Georgia" w:eastAsia="Georgia" w:hAnsi="Georgia" w:cs="Georgia"/>
          <w:iCs/>
        </w:rPr>
      </w:pPr>
      <w:r>
        <w:rPr>
          <w:rFonts w:ascii="Georgia" w:eastAsia="Georgia" w:hAnsi="Georgia" w:cs="Georgia"/>
          <w:iCs/>
        </w:rPr>
        <w:t>Most important is</w:t>
      </w:r>
      <w:r w:rsidR="00FE2584" w:rsidRPr="00FE2584">
        <w:rPr>
          <w:rFonts w:ascii="Georgia" w:eastAsia="Georgia" w:hAnsi="Georgia" w:cs="Georgia"/>
          <w:iCs/>
        </w:rPr>
        <w:t>,</w:t>
      </w:r>
      <w:r w:rsidR="00FE2584">
        <w:rPr>
          <w:rFonts w:ascii="Georgia" w:eastAsia="Georgia" w:hAnsi="Georgia" w:cs="Georgia"/>
          <w:iCs/>
        </w:rPr>
        <w:t xml:space="preserve"> “</w:t>
      </w:r>
      <w:r w:rsidR="00FE2584" w:rsidRPr="00FE2584">
        <w:rPr>
          <w:rFonts w:ascii="Georgia" w:eastAsia="Georgia" w:hAnsi="Georgia" w:cs="Georgia"/>
          <w:iCs/>
        </w:rPr>
        <w:t xml:space="preserve">005.02D Content Knowledge. The candidate understands the central concepts, tools of inquiry, and structures of the discipline(s) he or she teaches and creates </w:t>
      </w:r>
      <w:r w:rsidR="00FE2584" w:rsidRPr="00FE2584">
        <w:rPr>
          <w:rFonts w:ascii="Georgia" w:eastAsia="Georgia" w:hAnsi="Georgia" w:cs="Georgia"/>
          <w:iCs/>
        </w:rPr>
        <w:lastRenderedPageBreak/>
        <w:t>learning experiences that make these aspects of the discipline accessible and meaningful for students to assure mastery of the content, including the ability to integrate the Nebraska Content Standards (</w:t>
      </w:r>
      <w:r w:rsidR="00E86C3D" w:rsidRPr="00E86C3D">
        <w:rPr>
          <w:rFonts w:ascii="Georgia" w:eastAsia="Georgia" w:hAnsi="Georgia" w:cs="Georgia"/>
          <w:i/>
          <w:iCs/>
        </w:rPr>
        <w:t>(92 NAC 10 Appendices A-D</w:t>
      </w:r>
      <w:r w:rsidR="00FE2584" w:rsidRPr="00FE2584">
        <w:rPr>
          <w:rFonts w:ascii="Georgia" w:eastAsia="Georgia" w:hAnsi="Georgia" w:cs="Georgia"/>
          <w:iCs/>
        </w:rPr>
        <w:t>) into instruction.</w:t>
      </w:r>
      <w:r w:rsidR="00FE2584">
        <w:rPr>
          <w:rFonts w:ascii="Georgia" w:eastAsia="Georgia" w:hAnsi="Georgia" w:cs="Georgia"/>
          <w:iCs/>
        </w:rPr>
        <w:t xml:space="preserve">” </w:t>
      </w:r>
      <w:r w:rsidRPr="009071F0">
        <w:rPr>
          <w:rFonts w:ascii="Georgia" w:eastAsia="Georgia" w:hAnsi="Georgia" w:cs="Georgia"/>
          <w:i/>
        </w:rPr>
        <w:t>But how is the skill of “integration” to be operationalized in teacher preparation – and how will the level of integration be assessed?</w:t>
      </w:r>
    </w:p>
    <w:p w14:paraId="484CFB9A" w14:textId="77777777" w:rsidR="00FE2584" w:rsidRPr="00FE2584" w:rsidRDefault="00FE2584" w:rsidP="00CC27A3">
      <w:pPr>
        <w:jc w:val="both"/>
        <w:rPr>
          <w:rFonts w:ascii="Georgia" w:eastAsia="Georgia" w:hAnsi="Georgia" w:cs="Georgia"/>
          <w:iCs/>
        </w:rPr>
      </w:pPr>
    </w:p>
    <w:p w14:paraId="34AF4AA9" w14:textId="5EF987A1" w:rsidR="00FE2584" w:rsidRPr="00FE2584" w:rsidRDefault="00E86C3D" w:rsidP="00CC27A3">
      <w:pPr>
        <w:jc w:val="both"/>
        <w:rPr>
          <w:rFonts w:ascii="Georgia" w:eastAsia="Georgia" w:hAnsi="Georgia" w:cs="Georgia"/>
          <w:iCs/>
        </w:rPr>
      </w:pPr>
      <w:r>
        <w:rPr>
          <w:rFonts w:ascii="Georgia" w:eastAsia="Georgia" w:hAnsi="Georgia" w:cs="Georgia"/>
          <w:iCs/>
        </w:rPr>
        <w:t>The relationship between Rule 20 and Rule 10</w:t>
      </w:r>
      <w:r w:rsidR="00E80B63">
        <w:rPr>
          <w:rFonts w:ascii="Georgia" w:eastAsia="Georgia" w:hAnsi="Georgia" w:cs="Georgia"/>
          <w:iCs/>
        </w:rPr>
        <w:t>,</w:t>
      </w:r>
      <w:r w:rsidR="00CE7076">
        <w:rPr>
          <w:rStyle w:val="FootnoteReference"/>
          <w:rFonts w:ascii="Georgia" w:eastAsia="Georgia" w:hAnsi="Georgia" w:cs="Georgia"/>
          <w:iCs/>
        </w:rPr>
        <w:footnoteReference w:id="23"/>
      </w:r>
      <w:r w:rsidR="00CE7076">
        <w:rPr>
          <w:rFonts w:ascii="Georgia" w:eastAsia="Georgia" w:hAnsi="Georgia" w:cs="Georgia"/>
          <w:iCs/>
        </w:rPr>
        <w:t xml:space="preserve"> </w:t>
      </w:r>
      <w:r w:rsidR="00FE2584" w:rsidRPr="00FE2584">
        <w:rPr>
          <w:rFonts w:ascii="Georgia" w:eastAsia="Georgia" w:hAnsi="Georgia" w:cs="Georgia"/>
          <w:iCs/>
        </w:rPr>
        <w:t xml:space="preserve"> </w:t>
      </w:r>
      <w:r w:rsidR="00FE2584">
        <w:rPr>
          <w:rFonts w:ascii="Georgia" w:eastAsia="Georgia" w:hAnsi="Georgia" w:cs="Georgia"/>
          <w:iCs/>
        </w:rPr>
        <w:t>which also carries statutory authority</w:t>
      </w:r>
      <w:r w:rsidR="00FE2584" w:rsidRPr="00FE2584">
        <w:rPr>
          <w:rFonts w:ascii="Georgia" w:eastAsia="Georgia" w:hAnsi="Georgia" w:cs="Georgia"/>
          <w:iCs/>
        </w:rPr>
        <w:t xml:space="preserve">, is </w:t>
      </w:r>
      <w:r>
        <w:rPr>
          <w:rFonts w:ascii="Georgia" w:eastAsia="Georgia" w:hAnsi="Georgia" w:cs="Georgia"/>
          <w:iCs/>
        </w:rPr>
        <w:t>potentially important. While Rule</w:t>
      </w:r>
      <w:r w:rsidR="00FE2584" w:rsidRPr="00FE2584">
        <w:rPr>
          <w:rFonts w:ascii="Georgia" w:eastAsia="Georgia" w:hAnsi="Georgia" w:cs="Georgia"/>
          <w:iCs/>
        </w:rPr>
        <w:t xml:space="preserve"> 10 lists the regulations and procedures for the accreditation of schools, not of teacher education programs</w:t>
      </w:r>
      <w:r>
        <w:rPr>
          <w:rFonts w:ascii="Georgia" w:eastAsia="Georgia" w:hAnsi="Georgia" w:cs="Georgia"/>
          <w:iCs/>
        </w:rPr>
        <w:t>, the Rule</w:t>
      </w:r>
      <w:r w:rsidR="00FE2584" w:rsidRPr="00FE2584">
        <w:rPr>
          <w:rFonts w:ascii="Georgia" w:eastAsia="Georgia" w:hAnsi="Georgia" w:cs="Georgia"/>
          <w:iCs/>
        </w:rPr>
        <w:t xml:space="preserve"> describe</w:t>
      </w:r>
      <w:r w:rsidR="004D6247">
        <w:rPr>
          <w:rFonts w:ascii="Georgia" w:eastAsia="Georgia" w:hAnsi="Georgia" w:cs="Georgia"/>
          <w:iCs/>
        </w:rPr>
        <w:t>s</w:t>
      </w:r>
      <w:r w:rsidR="00FE2584" w:rsidRPr="00FE2584">
        <w:rPr>
          <w:rFonts w:ascii="Georgia" w:eastAsia="Georgia" w:hAnsi="Georgia" w:cs="Georgia"/>
          <w:iCs/>
        </w:rPr>
        <w:t xml:space="preserve"> what students need to know in each content area and grade level</w:t>
      </w:r>
      <w:r>
        <w:rPr>
          <w:rFonts w:ascii="Georgia" w:eastAsia="Georgia" w:hAnsi="Georgia" w:cs="Georgia"/>
          <w:iCs/>
        </w:rPr>
        <w:t>. Thus</w:t>
      </w:r>
      <w:r w:rsidR="00A8724F">
        <w:rPr>
          <w:rFonts w:ascii="Georgia" w:eastAsia="Georgia" w:hAnsi="Georgia" w:cs="Georgia"/>
          <w:iCs/>
        </w:rPr>
        <w:t>,</w:t>
      </w:r>
      <w:r w:rsidRPr="00E86C3D">
        <w:rPr>
          <w:rFonts w:ascii="Georgia" w:eastAsia="Georgia" w:hAnsi="Georgia" w:cs="Georgia"/>
          <w:i/>
        </w:rPr>
        <w:t xml:space="preserve"> if</w:t>
      </w:r>
      <w:r>
        <w:rPr>
          <w:rFonts w:ascii="Georgia" w:eastAsia="Georgia" w:hAnsi="Georgia" w:cs="Georgia"/>
          <w:iCs/>
        </w:rPr>
        <w:t xml:space="preserve"> student learning outcomes were tied to explicit and concrete teacher competencies, the circle would be complete. </w:t>
      </w:r>
    </w:p>
    <w:p w14:paraId="43D00C03" w14:textId="77777777" w:rsidR="00FE2584" w:rsidRPr="00FE2584" w:rsidRDefault="00FE2584" w:rsidP="00FE2584">
      <w:pPr>
        <w:rPr>
          <w:rFonts w:ascii="Georgia" w:eastAsia="Georgia" w:hAnsi="Georgia" w:cs="Georgia"/>
          <w:iCs/>
        </w:rPr>
      </w:pPr>
    </w:p>
    <w:p w14:paraId="1F69A808" w14:textId="3CB27BD5" w:rsidR="00FE2584" w:rsidRPr="00FE2584" w:rsidRDefault="00E86C3D" w:rsidP="00CC27A3">
      <w:pPr>
        <w:jc w:val="both"/>
        <w:rPr>
          <w:rFonts w:ascii="Georgia" w:eastAsia="Georgia" w:hAnsi="Georgia" w:cs="Georgia"/>
          <w:b/>
          <w:bCs/>
          <w:iCs/>
        </w:rPr>
      </w:pPr>
      <w:r>
        <w:rPr>
          <w:rFonts w:ascii="Georgia" w:eastAsia="Georgia" w:hAnsi="Georgia" w:cs="Georgia"/>
          <w:iCs/>
        </w:rPr>
        <w:t xml:space="preserve">We might expect to find that tie-in from </w:t>
      </w:r>
      <w:r w:rsidR="00DE5B3B">
        <w:rPr>
          <w:rFonts w:ascii="Georgia" w:eastAsia="Georgia" w:hAnsi="Georgia" w:cs="Georgia"/>
          <w:iCs/>
        </w:rPr>
        <w:t>“</w:t>
      </w:r>
      <w:r w:rsidR="009071F0" w:rsidRPr="00E86C3D">
        <w:rPr>
          <w:rFonts w:ascii="Georgia" w:eastAsia="Georgia" w:hAnsi="Georgia" w:cs="Georgia"/>
          <w:iCs/>
        </w:rPr>
        <w:t>The Standards of Competent Professional Practice</w:t>
      </w:r>
      <w:r w:rsidR="00DE5B3B">
        <w:rPr>
          <w:rFonts w:ascii="Georgia" w:eastAsia="Georgia" w:hAnsi="Georgia" w:cs="Georgia"/>
          <w:iCs/>
        </w:rPr>
        <w:t>”</w:t>
      </w:r>
      <w:r w:rsidR="009071F0" w:rsidRPr="00E86C3D">
        <w:rPr>
          <w:rFonts w:ascii="Georgia" w:eastAsia="Georgia" w:hAnsi="Georgia" w:cs="Georgia"/>
          <w:iCs/>
        </w:rPr>
        <w:t xml:space="preserve"> </w:t>
      </w:r>
      <w:r w:rsidR="00FE2584" w:rsidRPr="00FE2584">
        <w:rPr>
          <w:rFonts w:ascii="Georgia" w:eastAsia="Georgia" w:hAnsi="Georgia" w:cs="Georgia"/>
          <w:iCs/>
        </w:rPr>
        <w:t>(2012</w:t>
      </w:r>
      <w:r w:rsidR="00A8724F">
        <w:rPr>
          <w:rFonts w:ascii="Georgia" w:eastAsia="Georgia" w:hAnsi="Georgia" w:cs="Georgia"/>
          <w:iCs/>
        </w:rPr>
        <w:t>),</w:t>
      </w:r>
      <w:r w:rsidR="00CE7076" w:rsidRPr="00E86C3D">
        <w:rPr>
          <w:rStyle w:val="FootnoteReference"/>
          <w:rFonts w:ascii="Georgia" w:eastAsia="Georgia" w:hAnsi="Georgia" w:cs="Georgia"/>
          <w:iCs/>
        </w:rPr>
        <w:footnoteReference w:id="24"/>
      </w:r>
      <w:r w:rsidR="00FE2584" w:rsidRPr="00FE2584">
        <w:rPr>
          <w:rFonts w:ascii="Georgia" w:eastAsia="Georgia" w:hAnsi="Georgia" w:cs="Georgia"/>
          <w:iCs/>
        </w:rPr>
        <w:t xml:space="preserve"> </w:t>
      </w:r>
      <w:r>
        <w:rPr>
          <w:rFonts w:ascii="Georgia" w:eastAsia="Georgia" w:hAnsi="Georgia" w:cs="Georgia"/>
          <w:iCs/>
        </w:rPr>
        <w:t>which also has statutory authority. These standards lay out what</w:t>
      </w:r>
      <w:r w:rsidR="00FE2584" w:rsidRPr="00FE2584">
        <w:rPr>
          <w:rFonts w:ascii="Georgia" w:eastAsia="Georgia" w:hAnsi="Georgia" w:cs="Georgia"/>
          <w:iCs/>
        </w:rPr>
        <w:t xml:space="preserve"> “are held to be generally accepted minimal standards for public school certificate holders in Nebraska with respect to competent performance and are therefore declared to be the standards of competency adopted pursuant to the provisions of Section 79-866 R.R.S.” </w:t>
      </w:r>
      <w:r w:rsidR="006E560E">
        <w:rPr>
          <w:rFonts w:ascii="Georgia" w:eastAsia="Georgia" w:hAnsi="Georgia" w:cs="Georgia"/>
          <w:iCs/>
        </w:rPr>
        <w:t>On careful review, t</w:t>
      </w:r>
      <w:r w:rsidR="00FE2584" w:rsidRPr="00FE2584">
        <w:rPr>
          <w:rFonts w:ascii="Georgia" w:eastAsia="Georgia" w:hAnsi="Georgia" w:cs="Georgia"/>
          <w:iCs/>
        </w:rPr>
        <w:t xml:space="preserve">hese standards match </w:t>
      </w:r>
      <w:r w:rsidR="006E560E" w:rsidRPr="006E560E">
        <w:rPr>
          <w:rFonts w:ascii="Georgia" w:eastAsia="Georgia" w:hAnsi="Georgia" w:cs="Georgia"/>
          <w:i/>
        </w:rPr>
        <w:t>s</w:t>
      </w:r>
      <w:r w:rsidR="00FE2584" w:rsidRPr="00FE2584">
        <w:rPr>
          <w:rFonts w:ascii="Georgia" w:eastAsia="Georgia" w:hAnsi="Georgia" w:cs="Georgia"/>
          <w:i/>
        </w:rPr>
        <w:t>ome, but not a</w:t>
      </w:r>
      <w:r w:rsidR="006E560E">
        <w:rPr>
          <w:rFonts w:ascii="Georgia" w:eastAsia="Georgia" w:hAnsi="Georgia" w:cs="Georgia"/>
          <w:i/>
        </w:rPr>
        <w:t xml:space="preserve">ll </w:t>
      </w:r>
      <w:r w:rsidR="006E560E">
        <w:rPr>
          <w:rFonts w:ascii="Georgia" w:eastAsia="Georgia" w:hAnsi="Georgia" w:cs="Georgia"/>
          <w:iCs/>
        </w:rPr>
        <w:t xml:space="preserve">of the </w:t>
      </w:r>
      <w:r w:rsidR="00FE2584" w:rsidRPr="00FE2584">
        <w:rPr>
          <w:rFonts w:ascii="Georgia" w:eastAsia="Georgia" w:hAnsi="Georgia" w:cs="Georgia"/>
          <w:iCs/>
        </w:rPr>
        <w:t xml:space="preserve">competencies outlined in Rule 20 and include (more) detailed descriptions of requirements in Administration and Supervision, Analysis of Individual Needs and Potential, Instructional Procedures, Management Techniques, Competence in Specialization, Evaluation of Learning and Goal Achievement, Human and Interpersonal Relationships, and Personal Requirements. </w:t>
      </w:r>
      <w:r w:rsidR="006E560E">
        <w:rPr>
          <w:rFonts w:ascii="Georgia" w:eastAsia="Georgia" w:hAnsi="Georgia" w:cs="Georgia"/>
          <w:iCs/>
        </w:rPr>
        <w:t>But w</w:t>
      </w:r>
      <w:r w:rsidR="00FE2584" w:rsidRPr="00FE2584">
        <w:rPr>
          <w:rFonts w:ascii="Georgia" w:eastAsia="Georgia" w:hAnsi="Georgia" w:cs="Georgia"/>
          <w:iCs/>
        </w:rPr>
        <w:t>hile the Standards of Competency are more detailed than Rule 20, they are still quite vague. For example, see here the language for Competence in Specialization:</w:t>
      </w:r>
    </w:p>
    <w:p w14:paraId="336005B0" w14:textId="77777777" w:rsidR="00FE2584" w:rsidRPr="00FE2584" w:rsidRDefault="00FE2584" w:rsidP="00CC27A3">
      <w:pPr>
        <w:jc w:val="both"/>
        <w:rPr>
          <w:rFonts w:ascii="Georgia" w:eastAsia="Georgia" w:hAnsi="Georgia" w:cs="Georgia"/>
          <w:iCs/>
        </w:rPr>
      </w:pPr>
    </w:p>
    <w:p w14:paraId="05C6EF0F" w14:textId="600CC52E" w:rsidR="00FE2584" w:rsidRPr="00FE2584" w:rsidRDefault="00FE2584" w:rsidP="00CC27A3">
      <w:pPr>
        <w:ind w:left="720" w:right="720"/>
        <w:jc w:val="both"/>
        <w:rPr>
          <w:rFonts w:ascii="Georgia" w:eastAsia="Georgia" w:hAnsi="Georgia" w:cs="Georgia"/>
          <w:iCs/>
        </w:rPr>
      </w:pPr>
      <w:r w:rsidRPr="00FE2584">
        <w:rPr>
          <w:rFonts w:ascii="Georgia" w:eastAsia="Georgia" w:hAnsi="Georgia" w:cs="Georgia"/>
          <w:iCs/>
        </w:rPr>
        <w:t>H. Competence in Specialization Each educator shall: 1. Possess knowledge, within his or her area of specialization, consistent with his or her record of professional preparation; 2. Be aware of current developments in his or her field; and 3. Possess knowledge of resources which may be utilized in improving instruction in his or her area of specialization</w:t>
      </w:r>
      <w:r w:rsidR="009071F0">
        <w:rPr>
          <w:rFonts w:ascii="Georgia" w:eastAsia="Georgia" w:hAnsi="Georgia" w:cs="Georgia"/>
          <w:iCs/>
        </w:rPr>
        <w:t>.</w:t>
      </w:r>
    </w:p>
    <w:p w14:paraId="3BCDB5D1" w14:textId="77777777" w:rsidR="00FE2584" w:rsidRPr="00FE2584" w:rsidRDefault="00FE2584" w:rsidP="00FE2584">
      <w:pPr>
        <w:rPr>
          <w:rFonts w:ascii="Georgia" w:eastAsia="Georgia" w:hAnsi="Georgia" w:cs="Georgia"/>
          <w:iCs/>
        </w:rPr>
      </w:pPr>
    </w:p>
    <w:p w14:paraId="19005FDB" w14:textId="3E8C1D2A" w:rsidR="00FE2584" w:rsidRPr="00FE2584" w:rsidRDefault="00FE2584" w:rsidP="00CC27A3">
      <w:pPr>
        <w:jc w:val="both"/>
        <w:rPr>
          <w:rFonts w:ascii="Georgia" w:eastAsia="Georgia" w:hAnsi="Georgia" w:cs="Georgia"/>
          <w:iCs/>
        </w:rPr>
      </w:pPr>
      <w:r w:rsidRPr="00FE2584">
        <w:rPr>
          <w:rFonts w:ascii="Georgia" w:eastAsia="Georgia" w:hAnsi="Georgia" w:cs="Georgia"/>
          <w:iCs/>
        </w:rPr>
        <w:t>Where the subject of the standards aligns with Rule 20, e.g., Standards of Competence, J: Human and Interpersonal Relationships, the language of the standards does not align.</w:t>
      </w:r>
    </w:p>
    <w:p w14:paraId="3E6A0C88" w14:textId="77777777" w:rsidR="00FE2584" w:rsidRPr="00FE2584" w:rsidRDefault="00FE2584" w:rsidP="00CC27A3">
      <w:pPr>
        <w:jc w:val="both"/>
        <w:rPr>
          <w:rFonts w:ascii="Georgia" w:eastAsia="Georgia" w:hAnsi="Georgia" w:cs="Georgia"/>
          <w:iCs/>
        </w:rPr>
      </w:pPr>
    </w:p>
    <w:p w14:paraId="4AA42042" w14:textId="20D033E7" w:rsidR="006E560E" w:rsidRDefault="006E560E" w:rsidP="00CC27A3">
      <w:pPr>
        <w:jc w:val="both"/>
        <w:rPr>
          <w:rFonts w:ascii="Georgia" w:eastAsia="Georgia" w:hAnsi="Georgia" w:cs="Georgia"/>
          <w:bCs/>
          <w:iCs/>
        </w:rPr>
      </w:pPr>
      <w:r>
        <w:rPr>
          <w:rFonts w:ascii="Georgia" w:eastAsia="Georgia" w:hAnsi="Georgia" w:cs="Georgia"/>
          <w:iCs/>
        </w:rPr>
        <w:t>Finally</w:t>
      </w:r>
      <w:r w:rsidR="00A8724F">
        <w:rPr>
          <w:rFonts w:ascii="Georgia" w:eastAsia="Georgia" w:hAnsi="Georgia" w:cs="Georgia"/>
          <w:iCs/>
        </w:rPr>
        <w:t>,</w:t>
      </w:r>
      <w:r>
        <w:rPr>
          <w:rFonts w:ascii="Georgia" w:eastAsia="Georgia" w:hAnsi="Georgia" w:cs="Georgia"/>
          <w:iCs/>
        </w:rPr>
        <w:t xml:space="preserve"> we have </w:t>
      </w:r>
      <w:r>
        <w:rPr>
          <w:rFonts w:ascii="Georgia" w:eastAsia="Georgia" w:hAnsi="Georgia" w:cs="Georgia"/>
          <w:bCs/>
          <w:iCs/>
        </w:rPr>
        <w:t>t</w:t>
      </w:r>
      <w:r w:rsidRPr="006E560E">
        <w:rPr>
          <w:rFonts w:ascii="Georgia" w:eastAsia="Georgia" w:hAnsi="Georgia" w:cs="Georgia"/>
          <w:bCs/>
          <w:iCs/>
        </w:rPr>
        <w:t xml:space="preserve">he </w:t>
      </w:r>
      <w:r w:rsidR="00DE5B3B">
        <w:rPr>
          <w:rFonts w:ascii="Georgia" w:eastAsia="Georgia" w:hAnsi="Georgia" w:cs="Georgia"/>
          <w:bCs/>
          <w:iCs/>
        </w:rPr>
        <w:t>“</w:t>
      </w:r>
      <w:r w:rsidRPr="006E560E">
        <w:rPr>
          <w:rFonts w:ascii="Georgia" w:eastAsia="Georgia" w:hAnsi="Georgia" w:cs="Georgia"/>
          <w:bCs/>
          <w:iCs/>
        </w:rPr>
        <w:t>Nebraska Teacher and Principal Performance Standards</w:t>
      </w:r>
      <w:r w:rsidR="00DE5B3B">
        <w:rPr>
          <w:rFonts w:ascii="Georgia" w:eastAsia="Georgia" w:hAnsi="Georgia" w:cs="Georgia"/>
          <w:bCs/>
          <w:iCs/>
        </w:rPr>
        <w:t>”</w:t>
      </w:r>
      <w:r>
        <w:rPr>
          <w:rFonts w:ascii="Georgia" w:eastAsia="Georgia" w:hAnsi="Georgia" w:cs="Georgia"/>
          <w:bCs/>
          <w:iCs/>
        </w:rPr>
        <w:t xml:space="preserve"> (2019)</w:t>
      </w:r>
      <w:r w:rsidR="00A8724F">
        <w:rPr>
          <w:rFonts w:ascii="Georgia" w:eastAsia="Georgia" w:hAnsi="Georgia" w:cs="Georgia"/>
          <w:bCs/>
          <w:iCs/>
        </w:rPr>
        <w:t>.</w:t>
      </w:r>
      <w:r>
        <w:rPr>
          <w:rStyle w:val="FootnoteReference"/>
          <w:rFonts w:ascii="Georgia" w:eastAsia="Georgia" w:hAnsi="Georgia" w:cs="Georgia"/>
          <w:bCs/>
          <w:iCs/>
        </w:rPr>
        <w:footnoteReference w:id="25"/>
      </w:r>
      <w:r>
        <w:rPr>
          <w:rFonts w:ascii="Georgia" w:eastAsia="Georgia" w:hAnsi="Georgia" w:cs="Georgia"/>
          <w:bCs/>
          <w:iCs/>
        </w:rPr>
        <w:t xml:space="preserve"> These appear to be voluntary guidance: </w:t>
      </w:r>
      <w:r w:rsidRPr="006E560E">
        <w:rPr>
          <w:rFonts w:ascii="Georgia" w:eastAsia="Georgia" w:hAnsi="Georgia" w:cs="Georgia"/>
          <w:bCs/>
          <w:iCs/>
        </w:rPr>
        <w:t xml:space="preserve"> </w:t>
      </w:r>
    </w:p>
    <w:p w14:paraId="48EA11AE" w14:textId="77777777" w:rsidR="006E560E" w:rsidRPr="006E560E" w:rsidRDefault="006E560E" w:rsidP="00CC27A3">
      <w:pPr>
        <w:jc w:val="both"/>
        <w:rPr>
          <w:rFonts w:ascii="Georgia" w:eastAsia="Georgia" w:hAnsi="Georgia" w:cs="Georgia"/>
          <w:bCs/>
          <w:iCs/>
        </w:rPr>
      </w:pPr>
    </w:p>
    <w:p w14:paraId="56B51301" w14:textId="77777777" w:rsidR="006E560E" w:rsidRPr="006E560E" w:rsidRDefault="006E560E" w:rsidP="00CC27A3">
      <w:pPr>
        <w:ind w:left="720" w:right="720"/>
        <w:jc w:val="both"/>
        <w:rPr>
          <w:rFonts w:ascii="Georgia" w:eastAsia="Georgia" w:hAnsi="Georgia" w:cs="Georgia"/>
          <w:bCs/>
          <w:iCs/>
        </w:rPr>
      </w:pPr>
      <w:r w:rsidRPr="006E560E">
        <w:rPr>
          <w:rFonts w:ascii="Georgia" w:eastAsia="Georgia" w:hAnsi="Georgia" w:cs="Georgia"/>
          <w:bCs/>
          <w:iCs/>
        </w:rPr>
        <w:lastRenderedPageBreak/>
        <w:t xml:space="preserve">The Nebraska Teacher and Principal Performance Standards are the framework that provides a common language for what it means to be an effective teacher or effective principal in Nebraska. This common language will help guide local districts, educational service units, institutions of higher education, and state and local policymakers as they strive together to ensure Nebraska’s continuing commitment to improving educational equity for all children. </w:t>
      </w:r>
    </w:p>
    <w:p w14:paraId="774EEF47" w14:textId="77777777" w:rsidR="006E560E" w:rsidRDefault="006E560E" w:rsidP="00CC27A3">
      <w:pPr>
        <w:jc w:val="both"/>
        <w:rPr>
          <w:rFonts w:ascii="Georgia" w:eastAsia="Georgia" w:hAnsi="Georgia" w:cs="Georgia"/>
          <w:bCs/>
          <w:iCs/>
        </w:rPr>
      </w:pPr>
    </w:p>
    <w:p w14:paraId="6B843B0D" w14:textId="35551F3A" w:rsidR="00202414" w:rsidRDefault="00202414" w:rsidP="00CC27A3">
      <w:pPr>
        <w:jc w:val="both"/>
        <w:rPr>
          <w:rFonts w:ascii="Georgia" w:eastAsia="Georgia" w:hAnsi="Georgia" w:cs="Georgia"/>
          <w:bCs/>
          <w:iCs/>
        </w:rPr>
      </w:pPr>
      <w:r>
        <w:rPr>
          <w:rFonts w:ascii="Georgia" w:eastAsia="Georgia" w:hAnsi="Georgia" w:cs="Georgia"/>
          <w:bCs/>
          <w:iCs/>
        </w:rPr>
        <w:t>First, we note that these standards make no explicit reference to Rule 20 nor to Rule 10. Second, while</w:t>
      </w:r>
      <w:r w:rsidRPr="00FE2584">
        <w:rPr>
          <w:rFonts w:ascii="Georgia" w:eastAsia="Georgia" w:hAnsi="Georgia" w:cs="Georgia"/>
          <w:bCs/>
          <w:iCs/>
        </w:rPr>
        <w:t xml:space="preserve"> there is some overlap in meaning between the</w:t>
      </w:r>
      <w:r>
        <w:rPr>
          <w:rFonts w:ascii="Georgia" w:eastAsia="Georgia" w:hAnsi="Georgia" w:cs="Georgia"/>
          <w:bCs/>
          <w:iCs/>
        </w:rPr>
        <w:t>se</w:t>
      </w:r>
      <w:r w:rsidRPr="00FE2584">
        <w:rPr>
          <w:rFonts w:ascii="Georgia" w:eastAsia="Georgia" w:hAnsi="Georgia" w:cs="Georgia"/>
          <w:bCs/>
          <w:iCs/>
        </w:rPr>
        <w:t xml:space="preserve"> Teacher and Principal Professional Standards and the </w:t>
      </w:r>
      <w:r>
        <w:rPr>
          <w:rFonts w:ascii="Georgia" w:eastAsia="Georgia" w:hAnsi="Georgia" w:cs="Georgia"/>
          <w:bCs/>
          <w:iCs/>
        </w:rPr>
        <w:t xml:space="preserve">earlier cited </w:t>
      </w:r>
      <w:r w:rsidRPr="00FE2584">
        <w:rPr>
          <w:rFonts w:ascii="Georgia" w:eastAsia="Georgia" w:hAnsi="Georgia" w:cs="Georgia"/>
          <w:bCs/>
          <w:iCs/>
        </w:rPr>
        <w:t xml:space="preserve">Standards of Competency, the language </w:t>
      </w:r>
      <w:r>
        <w:rPr>
          <w:rFonts w:ascii="Georgia" w:eastAsia="Georgia" w:hAnsi="Georgia" w:cs="Georgia"/>
          <w:bCs/>
          <w:iCs/>
        </w:rPr>
        <w:t xml:space="preserve">in the two documents </w:t>
      </w:r>
      <w:r w:rsidRPr="00FE2584">
        <w:rPr>
          <w:rFonts w:ascii="Georgia" w:eastAsia="Georgia" w:hAnsi="Georgia" w:cs="Georgia"/>
          <w:bCs/>
          <w:iCs/>
        </w:rPr>
        <w:t>does not align.</w:t>
      </w:r>
    </w:p>
    <w:p w14:paraId="2BEA652B" w14:textId="5A37EBFA" w:rsidR="00202414" w:rsidRDefault="00202414" w:rsidP="00CC27A3">
      <w:pPr>
        <w:jc w:val="both"/>
        <w:rPr>
          <w:rFonts w:ascii="Georgia" w:eastAsia="Georgia" w:hAnsi="Georgia" w:cs="Georgia"/>
          <w:bCs/>
          <w:iCs/>
        </w:rPr>
      </w:pPr>
    </w:p>
    <w:p w14:paraId="76804910" w14:textId="6D978723" w:rsidR="00110F10" w:rsidRDefault="00202414" w:rsidP="00CC27A3">
      <w:pPr>
        <w:jc w:val="both"/>
        <w:rPr>
          <w:rFonts w:ascii="Georgia" w:eastAsia="Georgia" w:hAnsi="Georgia" w:cs="Georgia"/>
          <w:iCs/>
          <w:color w:val="000000" w:themeColor="text1"/>
        </w:rPr>
      </w:pPr>
      <w:r>
        <w:rPr>
          <w:rFonts w:ascii="Georgia" w:eastAsia="Georgia" w:hAnsi="Georgia" w:cs="Georgia"/>
          <w:bCs/>
          <w:iCs/>
        </w:rPr>
        <w:t xml:space="preserve">These Performance standards </w:t>
      </w:r>
      <w:r w:rsidR="00FE2584" w:rsidRPr="00FE2584">
        <w:rPr>
          <w:rFonts w:ascii="Georgia" w:eastAsia="Georgia" w:hAnsi="Georgia" w:cs="Georgia"/>
          <w:iCs/>
        </w:rPr>
        <w:t xml:space="preserve">focus chiefly on professional behaviors and dispositions, including Planning and Preparation, The Learning Environment, Instructional Strategies, Assessment, Professionalism, Vision for Learning, Continuous Improvement, Staff Support &amp; Development, Operations and Management, Culture for Learning, and Professional Ethics &amp; Advocacy. </w:t>
      </w:r>
      <w:r w:rsidR="00222491">
        <w:rPr>
          <w:rFonts w:ascii="Georgia" w:eastAsia="Georgia" w:hAnsi="Georgia" w:cs="Georgia"/>
          <w:iCs/>
        </w:rPr>
        <w:t xml:space="preserve">Even though they do not directly reference student learning standards, these performance standards would seem to offer what is missed in the other documents – namely identifying the skills and knowledge that future teachers must possess. </w:t>
      </w:r>
      <w:r w:rsidR="00110F10">
        <w:rPr>
          <w:rFonts w:ascii="Georgia" w:eastAsia="Georgia" w:hAnsi="Georgia" w:cs="Georgia"/>
          <w:iCs/>
        </w:rPr>
        <w:t>In truth, they set up that possibility but do not “get-there.” For example, student-teachers are to</w:t>
      </w:r>
      <w:r w:rsidR="00A8724F">
        <w:rPr>
          <w:rFonts w:ascii="Georgia" w:eastAsia="Georgia" w:hAnsi="Georgia" w:cs="Georgia"/>
          <w:iCs/>
        </w:rPr>
        <w:t xml:space="preserve"> demonstrate that they</w:t>
      </w:r>
      <w:r w:rsidR="00110F10">
        <w:rPr>
          <w:rFonts w:ascii="Georgia" w:eastAsia="Georgia" w:hAnsi="Georgia" w:cs="Georgia"/>
          <w:iCs/>
        </w:rPr>
        <w:t xml:space="preserve"> </w:t>
      </w:r>
      <w:r w:rsidR="00110F10" w:rsidRPr="00110F10">
        <w:rPr>
          <w:rFonts w:ascii="Georgia" w:eastAsia="Georgia" w:hAnsi="Georgia" w:cs="Georgia"/>
          <w:iCs/>
          <w:color w:val="000000" w:themeColor="text1"/>
        </w:rPr>
        <w:t>“Create and maintains a collaborative learning environment that supports each student’s diverse academic, social-emotional, linguistic, and physical strengths and needs.”</w:t>
      </w:r>
      <w:r w:rsidR="00110F10">
        <w:rPr>
          <w:rFonts w:ascii="Georgia" w:eastAsia="Georgia" w:hAnsi="Georgia" w:cs="Georgia"/>
          <w:iCs/>
          <w:color w:val="000000" w:themeColor="text1"/>
        </w:rPr>
        <w:t xml:space="preserve"> Clearly, these are important skills – but they are also immensely broad and not defined. What constitutes markers of success – in part or in whole? In other words, where are the rubrics, or the exemplars of highly effective learning environments?   </w:t>
      </w:r>
    </w:p>
    <w:p w14:paraId="7EEC9678" w14:textId="55557659" w:rsidR="00110F10" w:rsidRDefault="00110F10" w:rsidP="00CC27A3">
      <w:pPr>
        <w:jc w:val="both"/>
        <w:rPr>
          <w:rFonts w:ascii="Georgia" w:eastAsia="Georgia" w:hAnsi="Georgia" w:cs="Georgia"/>
          <w:iCs/>
          <w:color w:val="000000" w:themeColor="text1"/>
        </w:rPr>
      </w:pPr>
    </w:p>
    <w:p w14:paraId="410D5E0E" w14:textId="38FAE2A2" w:rsidR="00110F10" w:rsidRDefault="00110F10" w:rsidP="00CC27A3">
      <w:pPr>
        <w:jc w:val="both"/>
        <w:rPr>
          <w:rFonts w:ascii="Georgia" w:eastAsia="Georgia" w:hAnsi="Georgia" w:cs="Georgia"/>
          <w:iCs/>
          <w:color w:val="000000" w:themeColor="text1"/>
        </w:rPr>
      </w:pPr>
      <w:r>
        <w:rPr>
          <w:rFonts w:ascii="Georgia" w:eastAsia="Georgia" w:hAnsi="Georgia" w:cs="Georgia"/>
          <w:iCs/>
          <w:color w:val="000000" w:themeColor="text1"/>
        </w:rPr>
        <w:t>Other standards again point to, but don’t specify actionable rubrics. For example: “</w:t>
      </w:r>
      <w:r w:rsidRPr="00110F10">
        <w:rPr>
          <w:rFonts w:ascii="Georgia" w:eastAsia="Georgia" w:hAnsi="Georgia" w:cs="Georgia"/>
          <w:iCs/>
          <w:color w:val="000000" w:themeColor="text1"/>
        </w:rPr>
        <w:t>Engages students in constructing new and meaningful learning through problem- solving, critical and creative thinking, purposeful discourse, and inquiry aligned with locally determined curriculum and district-supported high</w:t>
      </w:r>
      <w:r w:rsidR="00490D3C">
        <w:rPr>
          <w:rFonts w:ascii="Georgia" w:eastAsia="Georgia" w:hAnsi="Georgia" w:cs="Georgia"/>
          <w:iCs/>
          <w:color w:val="000000" w:themeColor="text1"/>
        </w:rPr>
        <w:t>-</w:t>
      </w:r>
      <w:r w:rsidRPr="00110F10">
        <w:rPr>
          <w:rFonts w:ascii="Georgia" w:eastAsia="Georgia" w:hAnsi="Georgia" w:cs="Georgia"/>
          <w:iCs/>
          <w:color w:val="000000" w:themeColor="text1"/>
        </w:rPr>
        <w:t>quality instructional materials</w:t>
      </w:r>
      <w:r>
        <w:rPr>
          <w:rFonts w:ascii="Georgia" w:eastAsia="Georgia" w:hAnsi="Georgia" w:cs="Georgia"/>
          <w:iCs/>
          <w:color w:val="000000" w:themeColor="text1"/>
        </w:rPr>
        <w:t>.” What</w:t>
      </w:r>
      <w:r w:rsidR="00A8724F">
        <w:rPr>
          <w:rFonts w:ascii="Georgia" w:eastAsia="Georgia" w:hAnsi="Georgia" w:cs="Georgia"/>
          <w:iCs/>
          <w:color w:val="000000" w:themeColor="text1"/>
        </w:rPr>
        <w:t xml:space="preserve"> </w:t>
      </w:r>
      <w:r>
        <w:rPr>
          <w:rFonts w:ascii="Georgia" w:eastAsia="Georgia" w:hAnsi="Georgia" w:cs="Georgia"/>
          <w:iCs/>
          <w:color w:val="000000" w:themeColor="text1"/>
        </w:rPr>
        <w:t>constitutes “creative thinking</w:t>
      </w:r>
      <w:r w:rsidR="00A8724F">
        <w:rPr>
          <w:rFonts w:ascii="Georgia" w:eastAsia="Georgia" w:hAnsi="Georgia" w:cs="Georgia"/>
          <w:iCs/>
          <w:color w:val="000000" w:themeColor="text1"/>
        </w:rPr>
        <w:t>?”</w:t>
      </w:r>
      <w:r>
        <w:rPr>
          <w:rFonts w:ascii="Georgia" w:eastAsia="Georgia" w:hAnsi="Georgia" w:cs="Georgia"/>
          <w:iCs/>
          <w:color w:val="000000" w:themeColor="text1"/>
        </w:rPr>
        <w:t xml:space="preserve"> How is it to be identified differently than “purposeful discourse</w:t>
      </w:r>
      <w:r w:rsidR="00A8724F">
        <w:rPr>
          <w:rFonts w:ascii="Georgia" w:eastAsia="Georgia" w:hAnsi="Georgia" w:cs="Georgia"/>
          <w:iCs/>
          <w:color w:val="000000" w:themeColor="text1"/>
        </w:rPr>
        <w:t>?</w:t>
      </w:r>
      <w:r>
        <w:rPr>
          <w:rFonts w:ascii="Georgia" w:eastAsia="Georgia" w:hAnsi="Georgia" w:cs="Georgia"/>
          <w:iCs/>
          <w:color w:val="000000" w:themeColor="text1"/>
        </w:rPr>
        <w:t>”</w:t>
      </w:r>
    </w:p>
    <w:p w14:paraId="3360A40F" w14:textId="1D82A20D" w:rsidR="00490D3C" w:rsidRDefault="00490D3C" w:rsidP="00CC27A3">
      <w:pPr>
        <w:jc w:val="both"/>
        <w:rPr>
          <w:rFonts w:ascii="Georgia" w:eastAsia="Georgia" w:hAnsi="Georgia" w:cs="Georgia"/>
          <w:iCs/>
          <w:color w:val="000000" w:themeColor="text1"/>
        </w:rPr>
      </w:pPr>
    </w:p>
    <w:p w14:paraId="378F94F4" w14:textId="06E214B1" w:rsidR="00490D3C" w:rsidRPr="00110F10" w:rsidRDefault="00490D3C" w:rsidP="00CC27A3">
      <w:pPr>
        <w:jc w:val="both"/>
        <w:rPr>
          <w:rFonts w:ascii="Georgia" w:eastAsia="Georgia" w:hAnsi="Georgia" w:cs="Georgia"/>
          <w:iCs/>
          <w:color w:val="000000" w:themeColor="text1"/>
        </w:rPr>
      </w:pPr>
      <w:r>
        <w:rPr>
          <w:rFonts w:ascii="Georgia" w:eastAsia="Georgia" w:hAnsi="Georgia" w:cs="Georgia"/>
          <w:iCs/>
          <w:color w:val="000000" w:themeColor="text1"/>
        </w:rPr>
        <w:t>A final example: “</w:t>
      </w:r>
      <w:r w:rsidRPr="00490D3C">
        <w:rPr>
          <w:rFonts w:ascii="Georgia" w:eastAsia="Georgia" w:hAnsi="Georgia" w:cs="Georgia"/>
          <w:iCs/>
          <w:color w:val="000000" w:themeColor="text1"/>
        </w:rPr>
        <w:t>Implements a range of evidence-based, district-supported strategies to ensure each student achieves district and state content standards, learning goals, and instructional objectives.”</w:t>
      </w:r>
      <w:r>
        <w:rPr>
          <w:rFonts w:ascii="Georgia" w:eastAsia="Georgia" w:hAnsi="Georgia" w:cs="Georgia"/>
          <w:iCs/>
          <w:color w:val="000000" w:themeColor="text1"/>
        </w:rPr>
        <w:t xml:space="preserve"> </w:t>
      </w:r>
    </w:p>
    <w:p w14:paraId="4AAA1ECE" w14:textId="38DE248A" w:rsidR="00110F10" w:rsidRPr="00110F10" w:rsidRDefault="00110F10" w:rsidP="00CC27A3">
      <w:pPr>
        <w:jc w:val="both"/>
        <w:rPr>
          <w:rFonts w:ascii="Georgia" w:eastAsia="Georgia" w:hAnsi="Georgia" w:cs="Georgia"/>
          <w:iCs/>
        </w:rPr>
      </w:pPr>
    </w:p>
    <w:p w14:paraId="03151BDA" w14:textId="43336185" w:rsidR="009355AE" w:rsidRDefault="00110F10" w:rsidP="00CC27A3">
      <w:pPr>
        <w:jc w:val="both"/>
        <w:rPr>
          <w:rFonts w:ascii="Georgia" w:eastAsia="Georgia" w:hAnsi="Georgia" w:cs="Georgia"/>
        </w:rPr>
      </w:pPr>
      <w:r w:rsidRPr="00781C20">
        <w:rPr>
          <w:rFonts w:ascii="Georgia" w:eastAsia="Georgia" w:hAnsi="Georgia" w:cs="Georgia"/>
          <w:iCs/>
          <w:color w:val="000000" w:themeColor="text1"/>
        </w:rPr>
        <w:t>There is one further document that, while not directly part of the regulations or advisory documentation for teacher preparation, gets closer to linking specific skills, knowledge, and performance-level rubrics.</w:t>
      </w:r>
      <w:r w:rsidR="009355AE">
        <w:rPr>
          <w:rFonts w:ascii="Georgia" w:eastAsia="Georgia" w:hAnsi="Georgia" w:cs="Georgia"/>
        </w:rPr>
        <w:t xml:space="preserve"> The document is the </w:t>
      </w:r>
      <w:r w:rsidR="00E12948">
        <w:rPr>
          <w:rFonts w:ascii="Georgia" w:eastAsia="Georgia" w:hAnsi="Georgia" w:cs="Georgia"/>
        </w:rPr>
        <w:t>“</w:t>
      </w:r>
      <w:r w:rsidR="00781C20">
        <w:rPr>
          <w:rFonts w:ascii="Georgia" w:eastAsia="Georgia" w:hAnsi="Georgia" w:cs="Georgia"/>
        </w:rPr>
        <w:t>Nebraska Core Competencies for Early Childhood Professionals</w:t>
      </w:r>
      <w:r w:rsidR="00E12948">
        <w:rPr>
          <w:rFonts w:ascii="Georgia" w:eastAsia="Georgia" w:hAnsi="Georgia" w:cs="Georgia"/>
        </w:rPr>
        <w:t>”</w:t>
      </w:r>
      <w:r w:rsidR="00781C20">
        <w:rPr>
          <w:rFonts w:ascii="Georgia" w:eastAsia="Georgia" w:hAnsi="Georgia" w:cs="Georgia"/>
        </w:rPr>
        <w:t xml:space="preserve"> </w:t>
      </w:r>
      <w:r w:rsidR="00B65CB4">
        <w:rPr>
          <w:rFonts w:ascii="Georgia" w:eastAsia="Georgia" w:hAnsi="Georgia" w:cs="Georgia"/>
        </w:rPr>
        <w:t>(2019</w:t>
      </w:r>
      <w:r w:rsidR="00A8724F">
        <w:rPr>
          <w:rFonts w:ascii="Georgia" w:eastAsia="Georgia" w:hAnsi="Georgia" w:cs="Georgia"/>
        </w:rPr>
        <w:t>)</w:t>
      </w:r>
      <w:r w:rsidR="00E80B63">
        <w:rPr>
          <w:rFonts w:ascii="Georgia" w:eastAsia="Georgia" w:hAnsi="Georgia" w:cs="Georgia"/>
        </w:rPr>
        <w:t>.</w:t>
      </w:r>
      <w:r w:rsidR="00E80B63" w:rsidRPr="00E80B63">
        <w:rPr>
          <w:rStyle w:val="FootnoteReference"/>
          <w:rFonts w:ascii="Georgia" w:eastAsia="Georgia" w:hAnsi="Georgia" w:cs="Georgia"/>
        </w:rPr>
        <w:t xml:space="preserve"> </w:t>
      </w:r>
      <w:r w:rsidR="00E80B63">
        <w:rPr>
          <w:rStyle w:val="FootnoteReference"/>
          <w:rFonts w:ascii="Georgia" w:eastAsia="Georgia" w:hAnsi="Georgia" w:cs="Georgia"/>
        </w:rPr>
        <w:footnoteReference w:id="26"/>
      </w:r>
      <w:r w:rsidR="00B65CB4">
        <w:rPr>
          <w:rFonts w:ascii="Georgia" w:eastAsia="Georgia" w:hAnsi="Georgia" w:cs="Georgia"/>
        </w:rPr>
        <w:t xml:space="preserve"> The Core Competencies are voluntary </w:t>
      </w:r>
      <w:r w:rsidR="00B65CB4">
        <w:rPr>
          <w:rFonts w:ascii="Georgia" w:eastAsia="Georgia" w:hAnsi="Georgia" w:cs="Georgia"/>
        </w:rPr>
        <w:lastRenderedPageBreak/>
        <w:t xml:space="preserve">guidelines for in-service </w:t>
      </w:r>
      <w:r w:rsidR="008823E6">
        <w:rPr>
          <w:rFonts w:ascii="Georgia" w:eastAsia="Georgia" w:hAnsi="Georgia" w:cs="Georgia"/>
        </w:rPr>
        <w:t>professionals charged with the care and instruction of very young children.</w:t>
      </w:r>
      <w:r w:rsidR="00B65CB4">
        <w:rPr>
          <w:rFonts w:ascii="Georgia" w:eastAsia="Georgia" w:hAnsi="Georgia" w:cs="Georgia"/>
        </w:rPr>
        <w:t xml:space="preserve"> </w:t>
      </w:r>
      <w:r w:rsidR="009355AE">
        <w:rPr>
          <w:rFonts w:ascii="Georgia" w:eastAsia="Georgia" w:hAnsi="Georgia" w:cs="Georgia"/>
        </w:rPr>
        <w:t>We reference it below.</w:t>
      </w:r>
    </w:p>
    <w:p w14:paraId="0000003C" w14:textId="4FCB0CCB" w:rsidR="00C1327D" w:rsidRDefault="00C1327D" w:rsidP="00CC27A3">
      <w:pPr>
        <w:jc w:val="both"/>
        <w:rPr>
          <w:rFonts w:ascii="Georgia" w:eastAsia="Georgia" w:hAnsi="Georgia" w:cs="Georgia"/>
        </w:rPr>
      </w:pPr>
    </w:p>
    <w:p w14:paraId="1AF32958" w14:textId="0E8A3BF1" w:rsidR="009355AE" w:rsidRPr="000D3329" w:rsidRDefault="00B65CB4" w:rsidP="00A8724F">
      <w:pPr>
        <w:numPr>
          <w:ilvl w:val="0"/>
          <w:numId w:val="8"/>
        </w:numPr>
        <w:jc w:val="both"/>
        <w:rPr>
          <w:rFonts w:ascii="Georgia" w:eastAsia="Georgia" w:hAnsi="Georgia" w:cs="Georgia"/>
        </w:rPr>
      </w:pPr>
      <w:r>
        <w:rPr>
          <w:rFonts w:ascii="Georgia" w:eastAsia="Georgia" w:hAnsi="Georgia" w:cs="Georgia"/>
          <w:i/>
        </w:rPr>
        <w:t>Recommendation:</w:t>
      </w:r>
      <w:r w:rsidR="008823E6">
        <w:rPr>
          <w:rFonts w:ascii="Georgia" w:eastAsia="Georgia" w:hAnsi="Georgia" w:cs="Georgia"/>
          <w:i/>
        </w:rPr>
        <w:t xml:space="preserve"> </w:t>
      </w:r>
      <w:r w:rsidR="000D3329">
        <w:rPr>
          <w:rFonts w:ascii="Georgia" w:eastAsia="Georgia" w:hAnsi="Georgia" w:cs="Georgia"/>
          <w:iCs/>
        </w:rPr>
        <w:t xml:space="preserve">It would be helpful if the Department </w:t>
      </w:r>
      <w:r w:rsidR="00A8724F">
        <w:rPr>
          <w:rFonts w:ascii="Georgia" w:eastAsia="Georgia" w:hAnsi="Georgia" w:cs="Georgia"/>
          <w:iCs/>
        </w:rPr>
        <w:t xml:space="preserve">clarified </w:t>
      </w:r>
      <w:r w:rsidR="000D3329">
        <w:rPr>
          <w:rFonts w:ascii="Georgia" w:eastAsia="Georgia" w:hAnsi="Georgia" w:cs="Georgia"/>
          <w:iCs/>
        </w:rPr>
        <w:t xml:space="preserve">the relationships between the multiple documents that pertain to teacher preparation and student learning goals. Any revisions should backward map from Rule 10 (what </w:t>
      </w:r>
      <w:r w:rsidR="00A8724F">
        <w:rPr>
          <w:rFonts w:ascii="Georgia" w:eastAsia="Georgia" w:hAnsi="Georgia" w:cs="Georgia"/>
          <w:iCs/>
        </w:rPr>
        <w:t>K</w:t>
      </w:r>
      <w:r w:rsidR="000D3329">
        <w:rPr>
          <w:rFonts w:ascii="Georgia" w:eastAsia="Georgia" w:hAnsi="Georgia" w:cs="Georgia"/>
          <w:iCs/>
        </w:rPr>
        <w:t>-12 students in Nebraska are expected to learn) with the explicit skills and knowledge that their teachers need to possess in order that children are successful.</w:t>
      </w:r>
    </w:p>
    <w:p w14:paraId="427258F6" w14:textId="66127DD9" w:rsidR="004C2539" w:rsidRDefault="000D3329" w:rsidP="004C2539">
      <w:pPr>
        <w:numPr>
          <w:ilvl w:val="0"/>
          <w:numId w:val="8"/>
        </w:numPr>
        <w:jc w:val="both"/>
        <w:rPr>
          <w:rFonts w:ascii="Georgia" w:eastAsia="Georgia" w:hAnsi="Georgia" w:cs="Georgia"/>
        </w:rPr>
      </w:pPr>
      <w:r>
        <w:rPr>
          <w:rFonts w:ascii="Georgia" w:eastAsia="Georgia" w:hAnsi="Georgia" w:cs="Georgia"/>
          <w:i/>
        </w:rPr>
        <w:t>Recommendation:</w:t>
      </w:r>
      <w:r>
        <w:rPr>
          <w:rFonts w:ascii="Georgia" w:eastAsia="Georgia" w:hAnsi="Georgia" w:cs="Georgia"/>
        </w:rPr>
        <w:t xml:space="preserve"> The Teacher and Principal Performance Standards should be strengthened through the addition of performance rubrics with </w:t>
      </w:r>
      <w:r w:rsidR="00A8724F">
        <w:rPr>
          <w:rFonts w:ascii="Georgia" w:eastAsia="Georgia" w:hAnsi="Georgia" w:cs="Georgia"/>
        </w:rPr>
        <w:t xml:space="preserve">designated </w:t>
      </w:r>
      <w:r>
        <w:rPr>
          <w:rFonts w:ascii="Georgia" w:eastAsia="Georgia" w:hAnsi="Georgia" w:cs="Georgia"/>
        </w:rPr>
        <w:t xml:space="preserve">levels of competences in each defined skill domain. Over time, these designations should be supported with video examples of the skill demonstrated at exemplary levels. </w:t>
      </w:r>
      <w:r w:rsidR="00490D3C">
        <w:rPr>
          <w:rFonts w:ascii="Georgia" w:eastAsia="Georgia" w:hAnsi="Georgia" w:cs="Georgia"/>
        </w:rPr>
        <w:t xml:space="preserve">The Standards should be aligned to grade bands (elementary, middle, high-school) </w:t>
      </w:r>
      <w:r w:rsidR="000926ED">
        <w:rPr>
          <w:rFonts w:ascii="Georgia" w:eastAsia="Georgia" w:hAnsi="Georgia" w:cs="Georgia"/>
        </w:rPr>
        <w:t xml:space="preserve">and separated into ELA and math and eventually, as possible, other subjects. </w:t>
      </w:r>
      <w:r w:rsidR="004C2539">
        <w:rPr>
          <w:rFonts w:ascii="Georgia" w:eastAsia="Georgia" w:hAnsi="Georgia" w:cs="Georgia"/>
        </w:rPr>
        <w:t>(One early</w:t>
      </w:r>
      <w:r w:rsidR="00E80B63">
        <w:rPr>
          <w:rFonts w:ascii="Georgia" w:eastAsia="Georgia" w:hAnsi="Georgia" w:cs="Georgia"/>
        </w:rPr>
        <w:t xml:space="preserve"> </w:t>
      </w:r>
      <w:r w:rsidR="004C2539">
        <w:rPr>
          <w:rFonts w:ascii="Georgia" w:eastAsia="Georgia" w:hAnsi="Georgia" w:cs="Georgia"/>
        </w:rPr>
        <w:t>example of competencies attached to rubrics comes from Louisiana where</w:t>
      </w:r>
      <w:r w:rsidR="004C2539" w:rsidRPr="004C2539">
        <w:rPr>
          <w:rFonts w:ascii="Georgia" w:eastAsia="Georgia" w:hAnsi="Georgia" w:cs="Georgia"/>
        </w:rPr>
        <w:t xml:space="preserve"> teacher preparation programs are also </w:t>
      </w:r>
      <w:r w:rsidR="004C2539" w:rsidRPr="004C2539">
        <w:rPr>
          <w:rFonts w:ascii="Georgia" w:eastAsia="Georgia" w:hAnsi="Georgia" w:cs="Georgia"/>
          <w:i/>
        </w:rPr>
        <w:t>required</w:t>
      </w:r>
      <w:r w:rsidR="004C2539" w:rsidRPr="004C2539">
        <w:rPr>
          <w:rFonts w:ascii="Georgia" w:eastAsia="Georgia" w:hAnsi="Georgia" w:cs="Georgia"/>
        </w:rPr>
        <w:t xml:space="preserve"> to integrate into their curriculum, </w:t>
      </w:r>
      <w:r w:rsidR="004C2539">
        <w:rPr>
          <w:rFonts w:ascii="Georgia" w:eastAsia="Georgia" w:hAnsi="Georgia" w:cs="Georgia"/>
        </w:rPr>
        <w:t>is a granular set of skills</w:t>
      </w:r>
      <w:r w:rsidR="004C2539" w:rsidRPr="004C2539">
        <w:rPr>
          <w:rFonts w:ascii="Georgia" w:eastAsia="Georgia" w:hAnsi="Georgia" w:cs="Georgia"/>
        </w:rPr>
        <w:t xml:space="preserve"> know</w:t>
      </w:r>
      <w:r w:rsidR="004C2539">
        <w:rPr>
          <w:rFonts w:ascii="Georgia" w:eastAsia="Georgia" w:hAnsi="Georgia" w:cs="Georgia"/>
        </w:rPr>
        <w:t>n</w:t>
      </w:r>
      <w:r w:rsidR="004C2539" w:rsidRPr="004C2539">
        <w:rPr>
          <w:rFonts w:ascii="Georgia" w:eastAsia="Georgia" w:hAnsi="Georgia" w:cs="Georgia"/>
        </w:rPr>
        <w:t xml:space="preserve"> as the Louisiana Teacher Performance Evaluation Rubric.</w:t>
      </w:r>
      <w:r w:rsidR="00E80B63">
        <w:rPr>
          <w:rStyle w:val="FootnoteReference"/>
          <w:rFonts w:ascii="Georgia" w:eastAsia="Georgia" w:hAnsi="Georgia" w:cs="Georgia"/>
        </w:rPr>
        <w:footnoteReference w:id="27"/>
      </w:r>
      <w:r w:rsidR="004C2539" w:rsidRPr="004C2539">
        <w:rPr>
          <w:rFonts w:ascii="Georgia" w:eastAsia="Georgia" w:hAnsi="Georgia" w:cs="Georgia"/>
        </w:rPr>
        <w:t xml:space="preserve"> Here is an example:</w:t>
      </w:r>
    </w:p>
    <w:p w14:paraId="7E2A2B11" w14:textId="32C3271C" w:rsidR="004C2539" w:rsidRDefault="004C2539" w:rsidP="004C2539">
      <w:pPr>
        <w:jc w:val="both"/>
        <w:rPr>
          <w:rFonts w:ascii="Georgia" w:eastAsia="Georgia" w:hAnsi="Georgia" w:cs="Georgia"/>
        </w:rPr>
      </w:pPr>
    </w:p>
    <w:p w14:paraId="03C02170" w14:textId="7CCF6501" w:rsidR="004C2539" w:rsidRPr="004C2539" w:rsidRDefault="004C2539" w:rsidP="004C2539">
      <w:pPr>
        <w:jc w:val="both"/>
        <w:rPr>
          <w:rFonts w:ascii="Georgia" w:eastAsia="Georgia" w:hAnsi="Georgia" w:cs="Georgia"/>
        </w:rPr>
      </w:pPr>
      <w:r>
        <w:rPr>
          <w:rFonts w:ascii="KlinicSlab" w:hAnsi="KlinicSlab"/>
          <w:noProof/>
          <w:sz w:val="22"/>
          <w:szCs w:val="22"/>
        </w:rPr>
        <w:drawing>
          <wp:inline distT="0" distB="0" distL="0" distR="0" wp14:anchorId="3B62D4B8" wp14:editId="5546A271">
            <wp:extent cx="5943600" cy="31496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149600"/>
                    </a:xfrm>
                    <a:prstGeom prst="rect">
                      <a:avLst/>
                    </a:prstGeom>
                  </pic:spPr>
                </pic:pic>
              </a:graphicData>
            </a:graphic>
          </wp:inline>
        </w:drawing>
      </w:r>
    </w:p>
    <w:p w14:paraId="1A011E51" w14:textId="37F4BA5B" w:rsidR="004C2539" w:rsidRDefault="004C2539" w:rsidP="004C2539">
      <w:pPr>
        <w:jc w:val="both"/>
        <w:rPr>
          <w:rFonts w:ascii="Georgia" w:eastAsia="Georgia" w:hAnsi="Georgia" w:cs="Georgia"/>
        </w:rPr>
      </w:pPr>
    </w:p>
    <w:p w14:paraId="429DFFFD" w14:textId="77777777" w:rsidR="004C2539" w:rsidRPr="000D3329" w:rsidRDefault="004C2539" w:rsidP="004C2539">
      <w:pPr>
        <w:jc w:val="both"/>
        <w:rPr>
          <w:rFonts w:ascii="Georgia" w:eastAsia="Georgia" w:hAnsi="Georgia" w:cs="Georgia"/>
        </w:rPr>
      </w:pPr>
    </w:p>
    <w:p w14:paraId="00000064" w14:textId="479377D5" w:rsidR="00C1327D" w:rsidRDefault="000D3329" w:rsidP="00CC27A3">
      <w:pPr>
        <w:numPr>
          <w:ilvl w:val="0"/>
          <w:numId w:val="8"/>
        </w:numPr>
        <w:jc w:val="both"/>
        <w:rPr>
          <w:rFonts w:ascii="Georgia" w:eastAsia="Georgia" w:hAnsi="Georgia" w:cs="Georgia"/>
        </w:rPr>
      </w:pPr>
      <w:r w:rsidRPr="000D3329">
        <w:rPr>
          <w:rFonts w:ascii="Georgia" w:eastAsia="Georgia" w:hAnsi="Georgia" w:cs="Georgia"/>
          <w:i/>
        </w:rPr>
        <w:t>Recommendation</w:t>
      </w:r>
      <w:r>
        <w:rPr>
          <w:rFonts w:ascii="Georgia" w:eastAsia="Georgia" w:hAnsi="Georgia" w:cs="Georgia"/>
          <w:iCs/>
        </w:rPr>
        <w:t xml:space="preserve">: </w:t>
      </w:r>
      <w:r w:rsidR="008823E6">
        <w:rPr>
          <w:rFonts w:ascii="Georgia" w:eastAsia="Georgia" w:hAnsi="Georgia" w:cs="Georgia"/>
          <w:iCs/>
        </w:rPr>
        <w:t xml:space="preserve">Because </w:t>
      </w:r>
      <w:r w:rsidR="005766F7">
        <w:rPr>
          <w:rFonts w:ascii="Georgia" w:eastAsia="Georgia" w:hAnsi="Georgia" w:cs="Georgia"/>
          <w:iCs/>
        </w:rPr>
        <w:t>teachers who are</w:t>
      </w:r>
      <w:r w:rsidR="008823E6">
        <w:rPr>
          <w:rFonts w:ascii="Georgia" w:eastAsia="Georgia" w:hAnsi="Georgia" w:cs="Georgia"/>
          <w:iCs/>
        </w:rPr>
        <w:t xml:space="preserve"> prepared to teach in elementary school will often be charged with teaching Pre-K aged children, </w:t>
      </w:r>
      <w:r w:rsidR="005766F7">
        <w:rPr>
          <w:rFonts w:ascii="Georgia" w:eastAsia="Georgia" w:hAnsi="Georgia" w:cs="Georgia"/>
        </w:rPr>
        <w:t>t</w:t>
      </w:r>
      <w:r w:rsidR="00B65CB4">
        <w:rPr>
          <w:rFonts w:ascii="Georgia" w:eastAsia="Georgia" w:hAnsi="Georgia" w:cs="Georgia"/>
        </w:rPr>
        <w:t xml:space="preserve">he Institute recommends </w:t>
      </w:r>
      <w:r w:rsidR="008823E6">
        <w:rPr>
          <w:rFonts w:ascii="Georgia" w:eastAsia="Georgia" w:hAnsi="Georgia" w:cs="Georgia"/>
        </w:rPr>
        <w:t xml:space="preserve">that the Department </w:t>
      </w:r>
      <w:r w:rsidR="000926ED">
        <w:rPr>
          <w:rFonts w:ascii="Georgia" w:eastAsia="Georgia" w:hAnsi="Georgia" w:cs="Georgia"/>
        </w:rPr>
        <w:t xml:space="preserve">creates a cross-walk </w:t>
      </w:r>
      <w:r w:rsidR="008823E6">
        <w:rPr>
          <w:rFonts w:ascii="Georgia" w:eastAsia="Georgia" w:hAnsi="Georgia" w:cs="Georgia"/>
        </w:rPr>
        <w:t xml:space="preserve">between the Core </w:t>
      </w:r>
      <w:r w:rsidR="008823E6">
        <w:rPr>
          <w:rFonts w:ascii="Georgia" w:eastAsia="Georgia" w:hAnsi="Georgia" w:cs="Georgia"/>
        </w:rPr>
        <w:lastRenderedPageBreak/>
        <w:t>Competencies for Early Childhood P</w:t>
      </w:r>
      <w:r w:rsidR="00DD0CE3">
        <w:rPr>
          <w:rFonts w:ascii="Georgia" w:eastAsia="Georgia" w:hAnsi="Georgia" w:cs="Georgia"/>
        </w:rPr>
        <w:t>rof</w:t>
      </w:r>
      <w:r w:rsidR="008823E6">
        <w:rPr>
          <w:rFonts w:ascii="Georgia" w:eastAsia="Georgia" w:hAnsi="Georgia" w:cs="Georgia"/>
        </w:rPr>
        <w:t xml:space="preserve">essionals and the </w:t>
      </w:r>
      <w:r w:rsidR="00B65CB4">
        <w:rPr>
          <w:rFonts w:ascii="Georgia" w:eastAsia="Georgia" w:hAnsi="Georgia" w:cs="Georgia"/>
        </w:rPr>
        <w:t xml:space="preserve">Teacher and Principal Performance </w:t>
      </w:r>
      <w:r w:rsidR="00E405BB">
        <w:rPr>
          <w:rFonts w:ascii="Georgia" w:eastAsia="Georgia" w:hAnsi="Georgia" w:cs="Georgia"/>
        </w:rPr>
        <w:t xml:space="preserve">Standards </w:t>
      </w:r>
      <w:r w:rsidR="008823E6">
        <w:rPr>
          <w:rFonts w:ascii="Georgia" w:eastAsia="Georgia" w:hAnsi="Georgia" w:cs="Georgia"/>
        </w:rPr>
        <w:t xml:space="preserve">to ensure congruity and coverage of all essential skills and knowledge. </w:t>
      </w:r>
      <w:r w:rsidR="00DD0CE3">
        <w:rPr>
          <w:rFonts w:ascii="Georgia" w:eastAsia="Georgia" w:hAnsi="Georgia" w:cs="Georgia"/>
        </w:rPr>
        <w:t>The Core Competencies documents signals this need when it references institutions of high education on p.7</w:t>
      </w:r>
      <w:r w:rsidR="00A8724F">
        <w:rPr>
          <w:rFonts w:ascii="Georgia" w:eastAsia="Georgia" w:hAnsi="Georgia" w:cs="Georgia"/>
        </w:rPr>
        <w:t>:</w:t>
      </w:r>
      <w:r w:rsidR="00DD0CE3">
        <w:rPr>
          <w:rFonts w:ascii="Georgia" w:eastAsia="Georgia" w:hAnsi="Georgia" w:cs="Georgia"/>
        </w:rPr>
        <w:t xml:space="preserve"> “</w:t>
      </w:r>
      <w:r w:rsidR="00DD0CE3" w:rsidRPr="00DD0CE3">
        <w:rPr>
          <w:rFonts w:ascii="Georgia" w:eastAsia="Georgia" w:hAnsi="Georgia" w:cs="Georgia"/>
        </w:rPr>
        <w:t>Design courses to ensure that students are able to demonstrate mastery of the competencies</w:t>
      </w:r>
      <w:r w:rsidR="00DD0CE3">
        <w:rPr>
          <w:rFonts w:ascii="Georgia" w:eastAsia="Georgia" w:hAnsi="Georgia" w:cs="Georgia"/>
        </w:rPr>
        <w:t xml:space="preserve">; </w:t>
      </w:r>
      <w:r w:rsidR="00DD0CE3" w:rsidRPr="00DD0CE3">
        <w:rPr>
          <w:rFonts w:ascii="Georgia" w:eastAsia="Georgia" w:hAnsi="Georgia" w:cs="Georgia"/>
        </w:rPr>
        <w:t>Coordinate content to facilitate transfer and articulation of col</w:t>
      </w:r>
      <w:r w:rsidR="00A8724F">
        <w:rPr>
          <w:rFonts w:ascii="Georgia" w:eastAsia="Georgia" w:hAnsi="Georgia" w:cs="Georgia"/>
        </w:rPr>
        <w:t>lege course work.”</w:t>
      </w:r>
    </w:p>
    <w:p w14:paraId="71809BD2" w14:textId="68AEB5B7" w:rsidR="00345045" w:rsidRPr="00345045" w:rsidRDefault="00C118A8" w:rsidP="00345045">
      <w:pPr>
        <w:numPr>
          <w:ilvl w:val="0"/>
          <w:numId w:val="8"/>
        </w:numPr>
        <w:jc w:val="both"/>
        <w:rPr>
          <w:rFonts w:ascii="Georgia" w:eastAsia="Georgia" w:hAnsi="Georgia" w:cs="Georgia"/>
        </w:rPr>
      </w:pPr>
      <w:r>
        <w:rPr>
          <w:rFonts w:ascii="Georgia" w:eastAsia="Georgia" w:hAnsi="Georgia" w:cs="Georgia"/>
          <w:i/>
        </w:rPr>
        <w:t>Recommendation</w:t>
      </w:r>
      <w:r w:rsidRPr="00C118A8">
        <w:rPr>
          <w:rFonts w:ascii="Georgia" w:eastAsia="Georgia" w:hAnsi="Georgia" w:cs="Georgia"/>
        </w:rPr>
        <w:t>:</w:t>
      </w:r>
      <w:r>
        <w:rPr>
          <w:rFonts w:ascii="Georgia" w:eastAsia="Georgia" w:hAnsi="Georgia" w:cs="Georgia"/>
        </w:rPr>
        <w:t xml:space="preserve"> Knowledge of and competency in both </w:t>
      </w:r>
      <w:r w:rsidRPr="00C118A8">
        <w:rPr>
          <w:rFonts w:ascii="Georgia" w:eastAsia="Georgia" w:hAnsi="Georgia" w:cs="Georgia"/>
        </w:rPr>
        <w:t>CRT – Culturally Relevant Teaching</w:t>
      </w:r>
      <w:r>
        <w:rPr>
          <w:rFonts w:ascii="Georgia" w:eastAsia="Georgia" w:hAnsi="Georgia" w:cs="Georgia"/>
        </w:rPr>
        <w:t xml:space="preserve"> and </w:t>
      </w:r>
      <w:r w:rsidRPr="00C118A8">
        <w:rPr>
          <w:rFonts w:ascii="Georgia" w:eastAsia="Georgia" w:hAnsi="Georgia" w:cs="Georgia"/>
        </w:rPr>
        <w:t>SEL – Social Emotional Learning</w:t>
      </w:r>
      <w:r>
        <w:rPr>
          <w:rFonts w:ascii="Georgia" w:eastAsia="Georgia" w:hAnsi="Georgia" w:cs="Georgia"/>
        </w:rPr>
        <w:t xml:space="preserve"> are critical for all future teachers. </w:t>
      </w:r>
      <w:r w:rsidR="00345045" w:rsidRPr="00345045">
        <w:rPr>
          <w:rFonts w:ascii="Georgia" w:eastAsia="Georgia" w:hAnsi="Georgia" w:cs="Georgia"/>
        </w:rPr>
        <w:t>We recommend the department ensure that the revision of the Rule will need to include CRT, SEL, and be aligned to the Teacher and Principal Standards, including addressing data informed instruction/decision making, equity and bias.</w:t>
      </w:r>
    </w:p>
    <w:p w14:paraId="7F6910C6" w14:textId="6DE6B595" w:rsidR="00C118A8" w:rsidRPr="00C118A8" w:rsidRDefault="00C118A8" w:rsidP="00345045">
      <w:pPr>
        <w:ind w:left="720"/>
        <w:jc w:val="both"/>
        <w:rPr>
          <w:rFonts w:ascii="Georgia" w:eastAsia="Georgia" w:hAnsi="Georgia" w:cs="Georgia"/>
        </w:rPr>
      </w:pPr>
    </w:p>
    <w:p w14:paraId="60EAA3E0" w14:textId="3BCA09EC" w:rsidR="00B8569D" w:rsidRDefault="00B8569D" w:rsidP="00B8569D">
      <w:pPr>
        <w:jc w:val="both"/>
        <w:rPr>
          <w:rFonts w:ascii="Georgia" w:eastAsia="Georgia" w:hAnsi="Georgia" w:cs="Georgia"/>
        </w:rPr>
      </w:pPr>
    </w:p>
    <w:p w14:paraId="4A109880" w14:textId="56661E6F" w:rsidR="00A449EA" w:rsidRPr="00FB384C" w:rsidRDefault="00B8569D" w:rsidP="00FB384C">
      <w:pPr>
        <w:jc w:val="center"/>
        <w:rPr>
          <w:rFonts w:ascii="Georgia" w:eastAsia="Georgia" w:hAnsi="Georgia" w:cs="Georgia"/>
          <w:b/>
          <w:i/>
          <w:color w:val="3366FF"/>
        </w:rPr>
      </w:pPr>
      <w:r>
        <w:rPr>
          <w:rFonts w:ascii="Georgia" w:eastAsia="Georgia" w:hAnsi="Georgia" w:cs="Georgia"/>
          <w:b/>
          <w:i/>
          <w:color w:val="3366FF"/>
        </w:rPr>
        <w:t>Program Dashboards</w:t>
      </w:r>
    </w:p>
    <w:p w14:paraId="094297B7" w14:textId="5AC30C30" w:rsidR="00A449EA" w:rsidRDefault="00A449EA" w:rsidP="00A449EA">
      <w:pPr>
        <w:rPr>
          <w:rFonts w:ascii="Georgia" w:eastAsia="Georgia" w:hAnsi="Georgia" w:cs="Georgia"/>
          <w:bCs/>
          <w:iCs/>
        </w:rPr>
      </w:pPr>
    </w:p>
    <w:p w14:paraId="25409B17" w14:textId="08183F18" w:rsidR="00A449EA" w:rsidRDefault="00A449EA" w:rsidP="00A449EA">
      <w:pPr>
        <w:rPr>
          <w:rFonts w:ascii="Georgia" w:eastAsia="Georgia" w:hAnsi="Georgia" w:cs="Georgia"/>
          <w:bCs/>
          <w:iCs/>
        </w:rPr>
      </w:pPr>
      <w:r>
        <w:rPr>
          <w:rFonts w:ascii="Georgia" w:eastAsia="Georgia" w:hAnsi="Georgia" w:cs="Georgia"/>
          <w:bCs/>
          <w:iCs/>
        </w:rPr>
        <w:t>For prospective students and for state and district level administrators, getting transparent usable data about S</w:t>
      </w:r>
      <w:r w:rsidRPr="00A449EA">
        <w:rPr>
          <w:rFonts w:ascii="Georgia" w:eastAsia="Georgia" w:hAnsi="Georgia" w:cs="Georgia"/>
          <w:bCs/>
          <w:iCs/>
        </w:rPr>
        <w:t xml:space="preserve">chools of education </w:t>
      </w:r>
      <w:r>
        <w:rPr>
          <w:rFonts w:ascii="Georgia" w:eastAsia="Georgia" w:hAnsi="Georgia" w:cs="Georgia"/>
          <w:bCs/>
          <w:iCs/>
        </w:rPr>
        <w:t>can be a difficult task. While healthy debate can take place as to which measures to include in a multi-measure dashboard, setting one up is the essential first step.</w:t>
      </w:r>
    </w:p>
    <w:p w14:paraId="25394035" w14:textId="15DFED48" w:rsidR="00A449EA" w:rsidRDefault="00A449EA" w:rsidP="00A449EA">
      <w:pPr>
        <w:rPr>
          <w:rFonts w:ascii="Georgia" w:eastAsia="Georgia" w:hAnsi="Georgia" w:cs="Georgia"/>
          <w:bCs/>
          <w:iCs/>
        </w:rPr>
      </w:pPr>
    </w:p>
    <w:p w14:paraId="721D4295" w14:textId="252CA049" w:rsidR="00A449EA" w:rsidRPr="00A449EA" w:rsidRDefault="00A449EA" w:rsidP="00A449EA">
      <w:pPr>
        <w:rPr>
          <w:rFonts w:ascii="Georgia" w:eastAsia="Georgia" w:hAnsi="Georgia" w:cs="Georgia"/>
          <w:bCs/>
          <w:iCs/>
        </w:rPr>
      </w:pPr>
      <w:r w:rsidRPr="000D3329">
        <w:rPr>
          <w:rFonts w:ascii="Georgia" w:eastAsia="Georgia" w:hAnsi="Georgia" w:cs="Georgia"/>
          <w:i/>
        </w:rPr>
        <w:t>Recommendation</w:t>
      </w:r>
      <w:r>
        <w:rPr>
          <w:rFonts w:ascii="Georgia" w:eastAsia="Georgia" w:hAnsi="Georgia" w:cs="Georgia"/>
          <w:iCs/>
        </w:rPr>
        <w:t>:</w:t>
      </w:r>
      <w:r>
        <w:rPr>
          <w:rFonts w:ascii="Georgia" w:eastAsia="Georgia" w:hAnsi="Georgia" w:cs="Georgia"/>
          <w:bCs/>
          <w:iCs/>
        </w:rPr>
        <w:t xml:space="preserve"> The Institute </w:t>
      </w:r>
      <w:r w:rsidRPr="00A449EA">
        <w:rPr>
          <w:rFonts w:ascii="Georgia" w:eastAsia="Georgia" w:hAnsi="Georgia" w:cs="Georgia"/>
          <w:bCs/>
          <w:iCs/>
        </w:rPr>
        <w:t xml:space="preserve">believes that the citizens of </w:t>
      </w:r>
      <w:r>
        <w:rPr>
          <w:rFonts w:ascii="Georgia" w:eastAsia="Georgia" w:hAnsi="Georgia" w:cs="Georgia"/>
          <w:bCs/>
          <w:iCs/>
        </w:rPr>
        <w:t>Nebraska</w:t>
      </w:r>
      <w:r w:rsidRPr="00A449EA">
        <w:rPr>
          <w:rFonts w:ascii="Georgia" w:eastAsia="Georgia" w:hAnsi="Georgia" w:cs="Georgia"/>
          <w:bCs/>
          <w:iCs/>
        </w:rPr>
        <w:t xml:space="preserve"> have every interest in a transparent accountability system for the state’s teacher preparation program that uses multiple measures to present a fair, 360 degree review of each program. The </w:t>
      </w:r>
      <w:r>
        <w:rPr>
          <w:rFonts w:ascii="Georgia" w:eastAsia="Georgia" w:hAnsi="Georgia" w:cs="Georgia"/>
          <w:bCs/>
          <w:iCs/>
        </w:rPr>
        <w:t>Institute also believes</w:t>
      </w:r>
      <w:r w:rsidRPr="00A449EA">
        <w:rPr>
          <w:rFonts w:ascii="Georgia" w:eastAsia="Georgia" w:hAnsi="Georgia" w:cs="Georgia"/>
          <w:bCs/>
          <w:iCs/>
        </w:rPr>
        <w:t xml:space="preserve"> that such metrics as the percentage of graduates who go on to teach in high-needs schools, and/or in high-needs subjects, are important data points, as are the percentage of minority candidates enrolled in a given program. Having reviewed the data and research supporting the reporting of value-added measures - </w:t>
      </w:r>
      <w:r w:rsidRPr="00A449EA">
        <w:rPr>
          <w:rFonts w:ascii="Georgia" w:eastAsia="Georgia" w:hAnsi="Georgia" w:cs="Georgia"/>
          <w:bCs/>
          <w:i/>
          <w:iCs/>
        </w:rPr>
        <w:t>by program cohort</w:t>
      </w:r>
      <w:r w:rsidRPr="00A449EA">
        <w:rPr>
          <w:rFonts w:ascii="Georgia" w:eastAsia="Georgia" w:hAnsi="Georgia" w:cs="Georgia"/>
          <w:bCs/>
          <w:iCs/>
        </w:rPr>
        <w:t xml:space="preserve"> – achieved by the graduates of each teacher preparation program (in such states as TN, NM, and LA), the Committee supports the </w:t>
      </w:r>
      <w:r w:rsidRPr="00A449EA">
        <w:rPr>
          <w:rFonts w:ascii="Georgia" w:eastAsia="Georgia" w:hAnsi="Georgia" w:cs="Georgia"/>
          <w:bCs/>
          <w:i/>
        </w:rPr>
        <w:t>inclusion</w:t>
      </w:r>
      <w:r w:rsidRPr="00A449EA">
        <w:rPr>
          <w:rFonts w:ascii="Georgia" w:eastAsia="Georgia" w:hAnsi="Georgia" w:cs="Georgia"/>
          <w:bCs/>
          <w:iCs/>
        </w:rPr>
        <w:t xml:space="preserve"> of that measure in such a transparent reporting system.</w:t>
      </w:r>
    </w:p>
    <w:p w14:paraId="6790524D" w14:textId="77777777" w:rsidR="00A449EA" w:rsidRPr="00A449EA" w:rsidRDefault="00A449EA" w:rsidP="00A449EA">
      <w:pPr>
        <w:rPr>
          <w:rFonts w:ascii="Georgia" w:eastAsia="Georgia" w:hAnsi="Georgia" w:cs="Georgia"/>
          <w:bCs/>
          <w:iCs/>
        </w:rPr>
      </w:pPr>
    </w:p>
    <w:p w14:paraId="26B23DB3" w14:textId="0C3BF7C8" w:rsidR="00A449EA" w:rsidRDefault="00A449EA" w:rsidP="00A449EA">
      <w:pPr>
        <w:rPr>
          <w:rFonts w:ascii="Georgia" w:eastAsia="Georgia" w:hAnsi="Georgia" w:cs="Georgia"/>
          <w:bCs/>
          <w:iCs/>
        </w:rPr>
      </w:pPr>
      <w:r w:rsidRPr="00A449EA">
        <w:rPr>
          <w:rFonts w:ascii="Georgia" w:eastAsia="Georgia" w:hAnsi="Georgia" w:cs="Georgia"/>
          <w:bCs/>
          <w:iCs/>
        </w:rPr>
        <w:t xml:space="preserve">Having reviewed multiple reporting schemes, the </w:t>
      </w:r>
      <w:r>
        <w:rPr>
          <w:rFonts w:ascii="Georgia" w:eastAsia="Georgia" w:hAnsi="Georgia" w:cs="Georgia"/>
          <w:bCs/>
          <w:iCs/>
        </w:rPr>
        <w:t>Institute recommends that the Department</w:t>
      </w:r>
      <w:r w:rsidRPr="00A449EA">
        <w:rPr>
          <w:rFonts w:ascii="Georgia" w:eastAsia="Georgia" w:hAnsi="Georgia" w:cs="Georgia"/>
          <w:bCs/>
          <w:iCs/>
        </w:rPr>
        <w:t xml:space="preserve"> look most closely at the</w:t>
      </w:r>
      <w:r>
        <w:rPr>
          <w:rFonts w:ascii="Georgia" w:eastAsia="Georgia" w:hAnsi="Georgia" w:cs="Georgia"/>
          <w:bCs/>
          <w:iCs/>
        </w:rPr>
        <w:t xml:space="preserve"> Delaware dashboard model</w:t>
      </w:r>
      <w:r w:rsidRPr="00A449EA">
        <w:rPr>
          <w:rFonts w:ascii="Georgia" w:eastAsia="Georgia" w:hAnsi="Georgia" w:cs="Georgia"/>
          <w:bCs/>
          <w:iCs/>
        </w:rPr>
        <w:t>.</w:t>
      </w:r>
      <w:r w:rsidR="00283C94">
        <w:rPr>
          <w:rStyle w:val="FootnoteReference"/>
          <w:rFonts w:ascii="Georgia" w:eastAsia="Georgia" w:hAnsi="Georgia" w:cs="Georgia"/>
          <w:bCs/>
          <w:iCs/>
        </w:rPr>
        <w:footnoteReference w:id="28"/>
      </w:r>
      <w:r w:rsidRPr="00A449EA">
        <w:rPr>
          <w:rFonts w:ascii="Georgia" w:eastAsia="Georgia" w:hAnsi="Georgia" w:cs="Georgia"/>
          <w:bCs/>
          <w:iCs/>
        </w:rPr>
        <w:t xml:space="preserve"> The model is visually highly intuitive, is the most inclusive of multiple measures, and offers a balanced approach to </w:t>
      </w:r>
      <w:r>
        <w:rPr>
          <w:rFonts w:ascii="Georgia" w:eastAsia="Georgia" w:hAnsi="Georgia" w:cs="Georgia"/>
          <w:bCs/>
          <w:iCs/>
        </w:rPr>
        <w:t xml:space="preserve">the </w:t>
      </w:r>
      <w:r w:rsidRPr="00A449EA">
        <w:rPr>
          <w:rFonts w:ascii="Georgia" w:eastAsia="Georgia" w:hAnsi="Georgia" w:cs="Georgia"/>
          <w:bCs/>
          <w:iCs/>
        </w:rPr>
        <w:t xml:space="preserve">weighting of these measures. </w:t>
      </w:r>
      <w:r>
        <w:rPr>
          <w:rFonts w:ascii="Georgia" w:eastAsia="Georgia" w:hAnsi="Georgia" w:cs="Georgia"/>
          <w:bCs/>
          <w:iCs/>
        </w:rPr>
        <w:t xml:space="preserve">The Institute </w:t>
      </w:r>
      <w:r w:rsidRPr="00A449EA">
        <w:rPr>
          <w:rFonts w:ascii="Georgia" w:eastAsia="Georgia" w:hAnsi="Georgia" w:cs="Georgia"/>
          <w:bCs/>
          <w:iCs/>
        </w:rPr>
        <w:t>is</w:t>
      </w:r>
      <w:r w:rsidRPr="00A449EA">
        <w:rPr>
          <w:rFonts w:ascii="Georgia" w:eastAsia="Georgia" w:hAnsi="Georgia" w:cs="Georgia"/>
          <w:b/>
          <w:iCs/>
        </w:rPr>
        <w:t xml:space="preserve"> not</w:t>
      </w:r>
      <w:r w:rsidRPr="00A449EA">
        <w:rPr>
          <w:rFonts w:ascii="Georgia" w:eastAsia="Georgia" w:hAnsi="Georgia" w:cs="Georgia"/>
          <w:bCs/>
          <w:iCs/>
        </w:rPr>
        <w:t xml:space="preserve"> advocating the simple importation of DE’s rubrics – some adaptions will surely be in order for </w:t>
      </w:r>
      <w:r>
        <w:rPr>
          <w:rFonts w:ascii="Georgia" w:eastAsia="Georgia" w:hAnsi="Georgia" w:cs="Georgia"/>
          <w:bCs/>
          <w:iCs/>
        </w:rPr>
        <w:t xml:space="preserve">Nebraska </w:t>
      </w:r>
      <w:r w:rsidRPr="00A449EA">
        <w:rPr>
          <w:rFonts w:ascii="Georgia" w:eastAsia="Georgia" w:hAnsi="Georgia" w:cs="Georgia"/>
          <w:bCs/>
          <w:iCs/>
        </w:rPr>
        <w:t xml:space="preserve">following on full discussions – but this is a very strong model.  </w:t>
      </w:r>
    </w:p>
    <w:p w14:paraId="6CE18287" w14:textId="464793AD" w:rsidR="00C118A8" w:rsidRDefault="00C118A8" w:rsidP="00A449EA">
      <w:pPr>
        <w:rPr>
          <w:rFonts w:ascii="Georgia" w:eastAsia="Georgia" w:hAnsi="Georgia" w:cs="Georgia"/>
          <w:bCs/>
          <w:iCs/>
        </w:rPr>
      </w:pPr>
    </w:p>
    <w:p w14:paraId="36F8C8E8" w14:textId="00DE67C2" w:rsidR="00B8569D" w:rsidRPr="00283C94" w:rsidRDefault="00C118A8" w:rsidP="00283C94">
      <w:pPr>
        <w:rPr>
          <w:rFonts w:ascii="Georgia" w:eastAsia="Georgia" w:hAnsi="Georgia" w:cs="Georgia"/>
          <w:bCs/>
          <w:iCs/>
        </w:rPr>
      </w:pPr>
      <w:r>
        <w:rPr>
          <w:rFonts w:ascii="Georgia" w:eastAsia="Georgia" w:hAnsi="Georgia" w:cs="Georgia"/>
          <w:bCs/>
          <w:iCs/>
        </w:rPr>
        <w:t xml:space="preserve">The dashboard should be open to the public – not password protected in any way – with the link to the dashboard clearly visible on the front page of the Department’s landing page. </w:t>
      </w:r>
    </w:p>
    <w:sectPr w:rsidR="00B8569D" w:rsidRPr="00283C94">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C3924" w14:textId="77777777" w:rsidR="003E7B08" w:rsidRDefault="003E7B08">
      <w:r>
        <w:separator/>
      </w:r>
    </w:p>
  </w:endnote>
  <w:endnote w:type="continuationSeparator" w:id="0">
    <w:p w14:paraId="26E4418F" w14:textId="77777777" w:rsidR="003E7B08" w:rsidRDefault="003E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KlinicSlab">
    <w:altName w:val="Cambria"/>
    <w:panose1 w:val="00000000000000000000"/>
    <w:charset w:val="00"/>
    <w:family w:val="roman"/>
    <w:notTrueType/>
    <w:pitch w:val="default"/>
  </w:font>
  <w:font w:name="Sorts Mill Goud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5459480"/>
      <w:docPartObj>
        <w:docPartGallery w:val="Page Numbers (Bottom of Page)"/>
        <w:docPartUnique/>
      </w:docPartObj>
    </w:sdtPr>
    <w:sdtEndPr>
      <w:rPr>
        <w:rStyle w:val="PageNumber"/>
      </w:rPr>
    </w:sdtEndPr>
    <w:sdtContent>
      <w:p w14:paraId="51F5F76F" w14:textId="0EA86393" w:rsidR="008823E6" w:rsidRDefault="008823E6" w:rsidP="00EC2E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5A6C35" w14:textId="77777777" w:rsidR="008823E6" w:rsidRDefault="008823E6" w:rsidP="00882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eorgia" w:hAnsi="Georgia"/>
      </w:rPr>
      <w:id w:val="-614437133"/>
      <w:docPartObj>
        <w:docPartGallery w:val="Page Numbers (Bottom of Page)"/>
        <w:docPartUnique/>
      </w:docPartObj>
    </w:sdtPr>
    <w:sdtEndPr>
      <w:rPr>
        <w:rStyle w:val="PageNumber"/>
      </w:rPr>
    </w:sdtEndPr>
    <w:sdtContent>
      <w:p w14:paraId="1C388596" w14:textId="0468D701" w:rsidR="008823E6" w:rsidRPr="0049187C" w:rsidRDefault="008823E6" w:rsidP="00EC2E22">
        <w:pPr>
          <w:pStyle w:val="Footer"/>
          <w:framePr w:wrap="none" w:vAnchor="text" w:hAnchor="margin" w:xAlign="right" w:y="1"/>
          <w:rPr>
            <w:rStyle w:val="PageNumber"/>
            <w:rFonts w:ascii="Georgia" w:hAnsi="Georgia"/>
          </w:rPr>
        </w:pPr>
        <w:r w:rsidRPr="0049187C">
          <w:rPr>
            <w:rStyle w:val="PageNumber"/>
            <w:rFonts w:ascii="Georgia" w:hAnsi="Georgia"/>
          </w:rPr>
          <w:fldChar w:fldCharType="begin"/>
        </w:r>
        <w:r w:rsidRPr="0049187C">
          <w:rPr>
            <w:rStyle w:val="PageNumber"/>
            <w:rFonts w:ascii="Georgia" w:hAnsi="Georgia"/>
          </w:rPr>
          <w:instrText xml:space="preserve"> PAGE </w:instrText>
        </w:r>
        <w:r w:rsidRPr="0049187C">
          <w:rPr>
            <w:rStyle w:val="PageNumber"/>
            <w:rFonts w:ascii="Georgia" w:hAnsi="Georgia"/>
          </w:rPr>
          <w:fldChar w:fldCharType="separate"/>
        </w:r>
        <w:r w:rsidR="00FB384C">
          <w:rPr>
            <w:rStyle w:val="PageNumber"/>
            <w:rFonts w:ascii="Georgia" w:hAnsi="Georgia"/>
            <w:noProof/>
          </w:rPr>
          <w:t>12</w:t>
        </w:r>
        <w:r w:rsidRPr="0049187C">
          <w:rPr>
            <w:rStyle w:val="PageNumber"/>
            <w:rFonts w:ascii="Georgia" w:hAnsi="Georgia"/>
          </w:rPr>
          <w:fldChar w:fldCharType="end"/>
        </w:r>
      </w:p>
    </w:sdtContent>
  </w:sdt>
  <w:sdt>
    <w:sdtPr>
      <w:rPr>
        <w:rFonts w:ascii="Georgia" w:hAnsi="Georgia"/>
      </w:rPr>
      <w:id w:val="-199403203"/>
      <w:docPartObj>
        <w:docPartGallery w:val="Page Numbers (Bottom of Page)"/>
        <w:docPartUnique/>
      </w:docPartObj>
    </w:sdtPr>
    <w:sdtEndPr>
      <w:rPr>
        <w:noProof/>
      </w:rPr>
    </w:sdtEndPr>
    <w:sdtContent>
      <w:p w14:paraId="22220833" w14:textId="77777777" w:rsidR="0049187C" w:rsidRPr="002249F8" w:rsidRDefault="0049187C" w:rsidP="0049187C">
        <w:pPr>
          <w:pStyle w:val="Footer"/>
          <w:ind w:right="360"/>
          <w:jc w:val="center"/>
          <w:rPr>
            <w:rFonts w:ascii="Georgia" w:eastAsia="Sorts Mill Goudy" w:hAnsi="Georgia" w:cs="Sorts Mill Goudy"/>
            <w:color w:val="3366FF"/>
            <w:sz w:val="20"/>
            <w:szCs w:val="20"/>
          </w:rPr>
        </w:pPr>
        <w:r w:rsidRPr="0001619D">
          <w:rPr>
            <w:rFonts w:ascii="Georgia" w:eastAsia="Sorts Mill Goudy" w:hAnsi="Georgia" w:cs="Sorts Mill Goudy"/>
            <w:color w:val="3366FF"/>
            <w:sz w:val="20"/>
            <w:szCs w:val="20"/>
          </w:rPr>
          <w:t>©20</w:t>
        </w:r>
        <w:r>
          <w:rPr>
            <w:rFonts w:ascii="Georgia" w:eastAsia="Sorts Mill Goudy" w:hAnsi="Georgia" w:cs="Sorts Mill Goudy"/>
            <w:color w:val="3366FF"/>
            <w:sz w:val="20"/>
            <w:szCs w:val="20"/>
          </w:rPr>
          <w:t>20</w:t>
        </w:r>
        <w:r w:rsidRPr="0001619D">
          <w:rPr>
            <w:rFonts w:ascii="Georgia" w:eastAsia="Sorts Mill Goudy" w:hAnsi="Georgia" w:cs="Sorts Mill Goudy"/>
            <w:color w:val="3366FF"/>
            <w:sz w:val="20"/>
            <w:szCs w:val="20"/>
          </w:rPr>
          <w:t xml:space="preserve"> by Johns Hopkins University</w:t>
        </w:r>
      </w:p>
    </w:sdtContent>
  </w:sdt>
  <w:p w14:paraId="44BCDB5E" w14:textId="77777777" w:rsidR="008823E6" w:rsidRDefault="008823E6" w:rsidP="004918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B0D3A" w14:textId="77777777" w:rsidR="003E7B08" w:rsidRDefault="003E7B08">
      <w:r>
        <w:separator/>
      </w:r>
    </w:p>
  </w:footnote>
  <w:footnote w:type="continuationSeparator" w:id="0">
    <w:p w14:paraId="17CBA676" w14:textId="77777777" w:rsidR="003E7B08" w:rsidRDefault="003E7B08">
      <w:r>
        <w:continuationSeparator/>
      </w:r>
    </w:p>
  </w:footnote>
  <w:footnote w:id="1">
    <w:p w14:paraId="413F488F" w14:textId="5468C56A" w:rsidR="00B5300B" w:rsidRPr="00345045" w:rsidRDefault="00B5300B" w:rsidP="00B5300B">
      <w:pPr>
        <w:pStyle w:val="FootnoteText"/>
        <w:rPr>
          <w:rFonts w:ascii="Georgia" w:hAnsi="Georgia"/>
        </w:rPr>
      </w:pPr>
      <w:r w:rsidRPr="00345045">
        <w:rPr>
          <w:rStyle w:val="FootnoteReference"/>
          <w:rFonts w:ascii="Georgia" w:hAnsi="Georgia"/>
        </w:rPr>
        <w:footnoteRef/>
      </w:r>
      <w:r w:rsidRPr="00345045">
        <w:rPr>
          <w:rFonts w:ascii="Georgia" w:hAnsi="Georgia"/>
        </w:rPr>
        <w:t xml:space="preserve"> This report cites relevant high-quality research when it is available. It should be acknowledged at the outset that the research record is not as thorough as one would wish. See</w:t>
      </w:r>
      <w:r w:rsidR="0092378F" w:rsidRPr="0092378F">
        <w:t xml:space="preserve"> </w:t>
      </w:r>
      <w:r w:rsidR="0092378F" w:rsidRPr="0092378F">
        <w:rPr>
          <w:rFonts w:ascii="Georgia" w:hAnsi="Georgia"/>
        </w:rPr>
        <w:t xml:space="preserve">Goldhaber, Dan. “Evidence-Based Teacher Preparation: Policy Context and What We Know.” Journal of Teacher Education 70, no. 2 (March 1, 2019): 90–101. </w:t>
      </w:r>
      <w:r w:rsidR="0092378F">
        <w:rPr>
          <w:rFonts w:ascii="Georgia" w:hAnsi="Georgia"/>
        </w:rPr>
        <w:t>Retrieved from</w:t>
      </w:r>
      <w:r w:rsidRPr="00345045">
        <w:rPr>
          <w:rFonts w:ascii="Georgia" w:hAnsi="Georgia"/>
        </w:rPr>
        <w:t xml:space="preserve">: </w:t>
      </w:r>
      <w:hyperlink r:id="rId1" w:history="1">
        <w:r w:rsidRPr="00345045">
          <w:rPr>
            <w:rStyle w:val="Hyperlink"/>
            <w:rFonts w:ascii="Georgia" w:hAnsi="Georgia"/>
          </w:rPr>
          <w:t>https://journals.sagepub.com/doi/10.1177/0022487118800712</w:t>
        </w:r>
      </w:hyperlink>
      <w:r w:rsidR="0092378F">
        <w:rPr>
          <w:rFonts w:ascii="Georgia" w:hAnsi="Georgia"/>
        </w:rPr>
        <w:t xml:space="preserve"> for a discussion of this issue.</w:t>
      </w:r>
    </w:p>
  </w:footnote>
  <w:footnote w:id="2">
    <w:p w14:paraId="250EE27E" w14:textId="77777777" w:rsidR="00F4553C" w:rsidRDefault="008A6045" w:rsidP="008A6045">
      <w:pPr>
        <w:pStyle w:val="FootnoteText"/>
        <w:rPr>
          <w:rFonts w:ascii="Georgia" w:hAnsi="Georgia"/>
        </w:rPr>
      </w:pPr>
      <w:r w:rsidRPr="00345045">
        <w:rPr>
          <w:rStyle w:val="FootnoteReference"/>
          <w:rFonts w:ascii="Georgia" w:hAnsi="Georgia"/>
        </w:rPr>
        <w:footnoteRef/>
      </w:r>
      <w:r w:rsidRPr="00345045">
        <w:rPr>
          <w:rFonts w:ascii="Georgia" w:hAnsi="Georgia"/>
        </w:rPr>
        <w:t xml:space="preserve"> Research supports the argument that stronger cognitive performance correlates with stronger teaching outcomes. “Every study that has included a valid measure of teacher verbal or cognitive ability has found that it accounts for more variance in student achievement than any other measured characteristic of teachers (e.g., Greenwald, Hedges, &amp; Lane, 1996; Ferguson &amp; Ladd, 1996; Kain &amp; Singleton, 1996; Ehrenberg &amp; Brewer, 1994).</w:t>
      </w:r>
      <w:r w:rsidR="00CE7076">
        <w:rPr>
          <w:rFonts w:ascii="Georgia" w:hAnsi="Georgia"/>
        </w:rPr>
        <w:t>”</w:t>
      </w:r>
    </w:p>
    <w:p w14:paraId="45449EA3" w14:textId="1B7F92CE" w:rsidR="008A6045" w:rsidRPr="00345045" w:rsidRDefault="00F4553C" w:rsidP="008A6045">
      <w:pPr>
        <w:pStyle w:val="FootnoteText"/>
        <w:rPr>
          <w:rFonts w:ascii="Georgia" w:hAnsi="Georgia"/>
        </w:rPr>
      </w:pPr>
      <w:r>
        <w:rPr>
          <w:rFonts w:ascii="Georgia" w:hAnsi="Georgia"/>
        </w:rPr>
        <w:t>Cited</w:t>
      </w:r>
      <w:r w:rsidR="00CE7076">
        <w:rPr>
          <w:rFonts w:ascii="Georgia" w:hAnsi="Georgia"/>
        </w:rPr>
        <w:t xml:space="preserve"> from</w:t>
      </w:r>
      <w:r w:rsidRPr="00F4553C">
        <w:t xml:space="preserve"> </w:t>
      </w:r>
      <w:r w:rsidRPr="00F4553C">
        <w:rPr>
          <w:rFonts w:ascii="Georgia" w:hAnsi="Georgia"/>
        </w:rPr>
        <w:t>Whitehurst, Grover. “Research on Teacher Preparation and Professional Development.” Conference Papers/Proceedings presented at the White House Conference on Preparing Tomorrow</w:t>
      </w:r>
      <w:r>
        <w:rPr>
          <w:rFonts w:ascii="Georgia" w:hAnsi="Georgia"/>
        </w:rPr>
        <w:t>’s Teachers, December 20, 2005.</w:t>
      </w:r>
      <w:r w:rsidR="00CE7076">
        <w:rPr>
          <w:rFonts w:ascii="Georgia" w:hAnsi="Georgia"/>
        </w:rPr>
        <w:t>:</w:t>
      </w:r>
      <w:r w:rsidR="008A6045" w:rsidRPr="00345045">
        <w:rPr>
          <w:rFonts w:ascii="Georgia" w:hAnsi="Georgia"/>
        </w:rPr>
        <w:t xml:space="preserve"> </w:t>
      </w:r>
      <w:hyperlink r:id="rId2" w:history="1">
        <w:r w:rsidR="008A6045" w:rsidRPr="00345045">
          <w:rPr>
            <w:rStyle w:val="Hyperlink"/>
            <w:rFonts w:ascii="Georgia" w:hAnsi="Georgia"/>
          </w:rPr>
          <w:t>https://www2.ed.gov/admins/tchrqual/learn/preparingteachersconference/whitehurst.html</w:t>
        </w:r>
      </w:hyperlink>
    </w:p>
    <w:p w14:paraId="4E4C8C1F" w14:textId="27FA7FD6" w:rsidR="008A6045" w:rsidRPr="00345045" w:rsidRDefault="008A6045" w:rsidP="008A6045">
      <w:pPr>
        <w:pStyle w:val="FootnoteText"/>
        <w:rPr>
          <w:rFonts w:ascii="Georgia" w:hAnsi="Georgia"/>
        </w:rPr>
      </w:pPr>
      <w:r w:rsidRPr="00345045">
        <w:rPr>
          <w:rFonts w:ascii="Georgia" w:hAnsi="Georgia"/>
        </w:rPr>
        <w:t>States with at least a 2.75 GPA requirement for entry into teacher preparation programs include:</w:t>
      </w:r>
    </w:p>
    <w:p w14:paraId="69A84E10" w14:textId="40162C39" w:rsidR="008A6045" w:rsidRPr="00345045" w:rsidRDefault="008A6045" w:rsidP="008A6045">
      <w:pPr>
        <w:pStyle w:val="FootnoteText"/>
        <w:rPr>
          <w:rFonts w:ascii="Georgia" w:hAnsi="Georgia"/>
        </w:rPr>
      </w:pPr>
      <w:r w:rsidRPr="00345045">
        <w:rPr>
          <w:rFonts w:ascii="Georgia" w:hAnsi="Georgia"/>
        </w:rPr>
        <w:t>* </w:t>
      </w:r>
      <w:hyperlink r:id="rId3" w:history="1">
        <w:r w:rsidRPr="00345045">
          <w:rPr>
            <w:rStyle w:val="Hyperlink"/>
            <w:rFonts w:ascii="Georgia" w:hAnsi="Georgia"/>
          </w:rPr>
          <w:t>New Jersey</w:t>
        </w:r>
      </w:hyperlink>
      <w:r w:rsidRPr="00345045">
        <w:rPr>
          <w:rFonts w:ascii="Georgia" w:hAnsi="Georgia"/>
        </w:rPr>
        <w:t> requires a 2.75.</w:t>
      </w:r>
      <w:r w:rsidRPr="00345045">
        <w:rPr>
          <w:rFonts w:ascii="Georgia" w:hAnsi="Georgia"/>
        </w:rPr>
        <w:br/>
        <w:t>* </w:t>
      </w:r>
      <w:hyperlink r:id="rId4" w:history="1">
        <w:r w:rsidRPr="00345045">
          <w:rPr>
            <w:rStyle w:val="Hyperlink"/>
            <w:rFonts w:ascii="Georgia" w:hAnsi="Georgia"/>
          </w:rPr>
          <w:t>Maryland</w:t>
        </w:r>
      </w:hyperlink>
      <w:r w:rsidRPr="00345045">
        <w:rPr>
          <w:rFonts w:ascii="Georgia" w:hAnsi="Georgia"/>
        </w:rPr>
        <w:t>  requires a 3.0.</w:t>
      </w:r>
    </w:p>
    <w:p w14:paraId="78C79C9E" w14:textId="77777777" w:rsidR="008A6045" w:rsidRPr="00345045" w:rsidRDefault="008A6045" w:rsidP="008A6045">
      <w:pPr>
        <w:pStyle w:val="FootnoteText"/>
        <w:rPr>
          <w:rFonts w:ascii="Georgia" w:hAnsi="Georgia"/>
        </w:rPr>
      </w:pPr>
      <w:r w:rsidRPr="00345045">
        <w:rPr>
          <w:rFonts w:ascii="Georgia" w:hAnsi="Georgia"/>
        </w:rPr>
        <w:t>* </w:t>
      </w:r>
      <w:hyperlink r:id="rId5" w:history="1">
        <w:r w:rsidRPr="00345045">
          <w:rPr>
            <w:rStyle w:val="Hyperlink"/>
            <w:rFonts w:ascii="Georgia" w:hAnsi="Georgia"/>
          </w:rPr>
          <w:t>Pennsylvania</w:t>
        </w:r>
      </w:hyperlink>
      <w:r w:rsidRPr="00345045">
        <w:rPr>
          <w:rFonts w:ascii="Georgia" w:hAnsi="Georgia"/>
        </w:rPr>
        <w:t> requires a 3.0, or 2.8 with provisions.</w:t>
      </w:r>
    </w:p>
    <w:p w14:paraId="6101D3CC" w14:textId="50D891E5" w:rsidR="008A6045" w:rsidRPr="00345045" w:rsidRDefault="008A6045">
      <w:pPr>
        <w:pStyle w:val="FootnoteText"/>
        <w:rPr>
          <w:rFonts w:ascii="Georgia" w:hAnsi="Georgia"/>
        </w:rPr>
      </w:pPr>
      <w:r w:rsidRPr="00345045">
        <w:rPr>
          <w:rFonts w:ascii="Georgia" w:hAnsi="Georgia"/>
        </w:rPr>
        <w:t>* </w:t>
      </w:r>
      <w:hyperlink r:id="rId6" w:history="1">
        <w:r w:rsidRPr="00345045">
          <w:rPr>
            <w:rStyle w:val="Hyperlink"/>
            <w:rFonts w:ascii="Georgia" w:hAnsi="Georgia"/>
          </w:rPr>
          <w:t>Connecticut</w:t>
        </w:r>
      </w:hyperlink>
      <w:r w:rsidRPr="00345045">
        <w:rPr>
          <w:rFonts w:ascii="Georgia" w:hAnsi="Georgia"/>
        </w:rPr>
        <w:t> requires a 2.7.</w:t>
      </w:r>
    </w:p>
  </w:footnote>
  <w:footnote w:id="3">
    <w:p w14:paraId="0803FF77" w14:textId="2145E642" w:rsidR="00E00855" w:rsidRPr="00345045" w:rsidRDefault="00E00855" w:rsidP="00E00855">
      <w:pPr>
        <w:pStyle w:val="FootnoteText"/>
        <w:rPr>
          <w:rFonts w:ascii="Georgia" w:hAnsi="Georgia"/>
        </w:rPr>
      </w:pPr>
      <w:r w:rsidRPr="00345045">
        <w:rPr>
          <w:rStyle w:val="FootnoteReference"/>
          <w:rFonts w:ascii="Georgia" w:hAnsi="Georgia"/>
        </w:rPr>
        <w:footnoteRef/>
      </w:r>
      <w:r w:rsidRPr="00345045">
        <w:rPr>
          <w:rFonts w:ascii="Georgia" w:hAnsi="Georgia"/>
        </w:rPr>
        <w:t xml:space="preserve"> This recommendation follows Delaware’s regulations</w:t>
      </w:r>
      <w:r w:rsidR="00E532CB">
        <w:rPr>
          <w:rFonts w:ascii="Georgia" w:hAnsi="Georgia"/>
        </w:rPr>
        <w:t>, see</w:t>
      </w:r>
      <w:r w:rsidRPr="00345045">
        <w:rPr>
          <w:rFonts w:ascii="Georgia" w:hAnsi="Georgia"/>
        </w:rPr>
        <w:t xml:space="preserve">: </w:t>
      </w:r>
      <w:hyperlink r:id="rId7" w:history="1">
        <w:r w:rsidRPr="00345045">
          <w:rPr>
            <w:rStyle w:val="Hyperlink"/>
            <w:rFonts w:ascii="Georgia" w:hAnsi="Georgia"/>
          </w:rPr>
          <w:t>https://regulations.delaware.gov/AdminCode/title14/200/290.shtml</w:t>
        </w:r>
      </w:hyperlink>
      <w:r w:rsidRPr="00345045">
        <w:rPr>
          <w:rFonts w:ascii="Georgia" w:hAnsi="Georgia"/>
        </w:rPr>
        <w:t xml:space="preserve">. See regulation </w:t>
      </w:r>
      <w:bookmarkStart w:id="0" w:name="1042118"/>
      <w:r w:rsidRPr="00345045">
        <w:rPr>
          <w:rFonts w:ascii="Georgia" w:hAnsi="Georgia"/>
        </w:rPr>
        <w:t>3.1.1.1 </w:t>
      </w:r>
      <w:bookmarkEnd w:id="0"/>
    </w:p>
  </w:footnote>
  <w:footnote w:id="4">
    <w:p w14:paraId="1AB1885E" w14:textId="63919F19" w:rsidR="00331E77" w:rsidRDefault="00331E77">
      <w:pPr>
        <w:pStyle w:val="FootnoteText"/>
      </w:pPr>
      <w:r w:rsidRPr="00345045">
        <w:rPr>
          <w:rStyle w:val="FootnoteReference"/>
          <w:rFonts w:ascii="Georgia" w:hAnsi="Georgia"/>
        </w:rPr>
        <w:footnoteRef/>
      </w:r>
      <w:r w:rsidRPr="00345045">
        <w:rPr>
          <w:rFonts w:ascii="Georgia" w:hAnsi="Georgia"/>
        </w:rPr>
        <w:t xml:space="preserve"> For research supporting the elimination of this requirement, see: </w:t>
      </w:r>
      <w:hyperlink r:id="rId8" w:history="1">
        <w:r w:rsidRPr="00331E77">
          <w:rPr>
            <w:rStyle w:val="Hyperlink"/>
            <w:rFonts w:ascii="Georgia" w:hAnsi="Georgia"/>
          </w:rPr>
          <w:t>https://ies.ed.gov/ncee/edlabs/regions/northwest/pdf/potential-testing-barriers.pdf</w:t>
        </w:r>
      </w:hyperlink>
    </w:p>
  </w:footnote>
  <w:footnote w:id="5">
    <w:p w14:paraId="15E7FE14" w14:textId="5D67C601" w:rsidR="00034EB2" w:rsidRPr="00345045" w:rsidRDefault="00034EB2" w:rsidP="00034EB2">
      <w:pPr>
        <w:pStyle w:val="FootnoteText"/>
        <w:rPr>
          <w:rFonts w:ascii="Georgia" w:hAnsi="Georgia"/>
        </w:rPr>
      </w:pPr>
      <w:r w:rsidRPr="00345045">
        <w:rPr>
          <w:rStyle w:val="FootnoteReference"/>
          <w:rFonts w:ascii="Georgia" w:hAnsi="Georgia"/>
        </w:rPr>
        <w:footnoteRef/>
      </w:r>
      <w:r w:rsidRPr="00345045">
        <w:rPr>
          <w:rFonts w:ascii="Georgia" w:hAnsi="Georgia"/>
        </w:rPr>
        <w:t xml:space="preserve"> For further research, see: </w:t>
      </w:r>
      <w:r w:rsidRPr="00B24CE8">
        <w:rPr>
          <w:rFonts w:ascii="Georgia" w:hAnsi="Georgia"/>
        </w:rPr>
        <w:t xml:space="preserve">D. H. Monk and J. A. King, “Multilevel Teacher Resource Effects in Pupil Performance in Secondary Mathematics and Science: The Case of Teacher Subject Matter Preparation,” in </w:t>
      </w:r>
      <w:r w:rsidRPr="00B24CE8">
        <w:rPr>
          <w:rFonts w:ascii="Georgia" w:hAnsi="Georgia"/>
          <w:i/>
          <w:iCs/>
        </w:rPr>
        <w:t>Choices and Consequences: Contemporary Policy Issues in Education</w:t>
      </w:r>
      <w:r w:rsidRPr="00B24CE8">
        <w:rPr>
          <w:rFonts w:ascii="Georgia" w:hAnsi="Georgia"/>
        </w:rPr>
        <w:t xml:space="preserve">, edited by R. G. Ehrenberg (Ithaca, N.Y.: ILR Press, 1994), pp. 29–58; D. H. Monk, “Subject Matter Preparation of Secondary Mathematics and Science Teachers and Student Achievement,” </w:t>
      </w:r>
      <w:r w:rsidRPr="00B24CE8">
        <w:rPr>
          <w:rFonts w:ascii="Georgia" w:hAnsi="Georgia"/>
          <w:i/>
          <w:iCs/>
        </w:rPr>
        <w:t xml:space="preserve">Economics of Education Review </w:t>
      </w:r>
      <w:r w:rsidRPr="00B24CE8">
        <w:rPr>
          <w:rFonts w:ascii="Georgia" w:hAnsi="Georgia"/>
        </w:rPr>
        <w:t xml:space="preserve">13, no. 2 (1994): 125–45. </w:t>
      </w:r>
    </w:p>
  </w:footnote>
  <w:footnote w:id="6">
    <w:p w14:paraId="0000006E" w14:textId="77777777" w:rsidR="00C1327D" w:rsidRPr="0049187C" w:rsidRDefault="00B65CB4">
      <w:pPr>
        <w:rPr>
          <w:rFonts w:ascii="Georgia" w:eastAsia="Georgia" w:hAnsi="Georgia" w:cs="Georgia"/>
          <w:sz w:val="20"/>
          <w:szCs w:val="20"/>
        </w:rPr>
      </w:pPr>
      <w:r w:rsidRPr="00345045">
        <w:rPr>
          <w:rFonts w:ascii="Georgia" w:hAnsi="Georgia"/>
          <w:vertAlign w:val="superscript"/>
        </w:rPr>
        <w:footnoteRef/>
      </w:r>
      <w:r w:rsidRPr="00345045">
        <w:rPr>
          <w:rFonts w:ascii="Georgia" w:eastAsia="Georgia" w:hAnsi="Georgia" w:cs="Georgia"/>
          <w:sz w:val="20"/>
          <w:szCs w:val="20"/>
        </w:rPr>
        <w:t xml:space="preserve"> In January 2014 the Mississippi Department of Education began providing the Language Essentials for Teachers of Reading and Spelling (LETRS), a statewide early literacy professional development, to K – 3 educators through online modules and face-to-face workshops and providing literacy coaches to the state’s lowest performing schools based on an average of two (2) years of 3rd grade data. A recent joint publication by Florida State University and the MDE (Folsom et al., 2017) suggests that during the period when the LETRS professional development program was implemented, teacher knowledge of early literacy skills, the quality of early literacy skills instruction, student engagement during early literacy skills instruction, and teaching competencies improved among educators who participated in the program over and above any increases found among educators generally. See: </w:t>
      </w:r>
      <w:hyperlink r:id="rId9">
        <w:r w:rsidRPr="00345045">
          <w:rPr>
            <w:rFonts w:ascii="Georgia" w:eastAsia="Georgia" w:hAnsi="Georgia" w:cs="Georgia"/>
            <w:color w:val="0563C1"/>
            <w:sz w:val="20"/>
            <w:szCs w:val="20"/>
            <w:u w:val="single"/>
          </w:rPr>
          <w:t>https://www.mdek12.org/sites/default/files/Offices/MDE/OAE/OEER/Literacy/diagnostic_assessment_guidance_screener_companion_guide_combinedaug16_v2.pdf</w:t>
        </w:r>
      </w:hyperlink>
      <w:r w:rsidRPr="0049187C">
        <w:rPr>
          <w:rFonts w:ascii="Georgia" w:eastAsia="Georgia" w:hAnsi="Georgia" w:cs="Georgia"/>
          <w:sz w:val="20"/>
          <w:szCs w:val="20"/>
        </w:rPr>
        <w:t xml:space="preserve"> </w:t>
      </w:r>
    </w:p>
  </w:footnote>
  <w:footnote w:id="7">
    <w:p w14:paraId="76EA459C" w14:textId="025A05BD" w:rsidR="00034EB2" w:rsidRPr="00345045" w:rsidRDefault="00034EB2" w:rsidP="00034EB2">
      <w:pPr>
        <w:pStyle w:val="FootnoteText"/>
        <w:rPr>
          <w:rFonts w:ascii="Georgia" w:hAnsi="Georgia"/>
        </w:rPr>
      </w:pPr>
      <w:r w:rsidRPr="00345045">
        <w:rPr>
          <w:rStyle w:val="FootnoteReference"/>
          <w:rFonts w:ascii="Georgia" w:hAnsi="Georgia"/>
        </w:rPr>
        <w:footnoteRef/>
      </w:r>
      <w:r w:rsidRPr="00345045">
        <w:rPr>
          <w:rFonts w:ascii="Georgia" w:hAnsi="Georgia"/>
        </w:rPr>
        <w:t xml:space="preserve"> </w:t>
      </w:r>
      <w:r w:rsidR="00283C94">
        <w:rPr>
          <w:rFonts w:ascii="Georgia" w:hAnsi="Georgia"/>
        </w:rPr>
        <w:t>For further background, s</w:t>
      </w:r>
      <w:r w:rsidR="00E80B63">
        <w:rPr>
          <w:rFonts w:ascii="Georgia" w:hAnsi="Georgia"/>
        </w:rPr>
        <w:t>ee</w:t>
      </w:r>
      <w:r w:rsidR="00283C94">
        <w:rPr>
          <w:rFonts w:ascii="Georgia" w:hAnsi="Georgia"/>
        </w:rPr>
        <w:t xml:space="preserve"> “A Closer Look at Early Reading” (2016)</w:t>
      </w:r>
      <w:r w:rsidR="00283C94" w:rsidRPr="00283C94">
        <w:rPr>
          <w:rFonts w:ascii="Georgia" w:hAnsi="Georgia"/>
        </w:rPr>
        <w:t xml:space="preserve"> from the National Council on Teacher Quality</w:t>
      </w:r>
      <w:r w:rsidR="00283C94">
        <w:rPr>
          <w:rFonts w:ascii="Georgia" w:hAnsi="Georgia"/>
        </w:rPr>
        <w:t xml:space="preserve"> here</w:t>
      </w:r>
      <w:r w:rsidR="00E80B63">
        <w:rPr>
          <w:rFonts w:ascii="Georgia" w:hAnsi="Georgia"/>
        </w:rPr>
        <w:t xml:space="preserve">: </w:t>
      </w:r>
      <w:hyperlink r:id="rId10" w:history="1">
        <w:r w:rsidRPr="00345045">
          <w:rPr>
            <w:rStyle w:val="Hyperlink"/>
            <w:rFonts w:ascii="Georgia" w:hAnsi="Georgia"/>
          </w:rPr>
          <w:t>https://www.nctq.org/dmsView/UE_2016_Reading_Findings</w:t>
        </w:r>
      </w:hyperlink>
    </w:p>
  </w:footnote>
  <w:footnote w:id="8">
    <w:p w14:paraId="44D94FB5" w14:textId="77777777" w:rsidR="00034EB2" w:rsidRPr="00345045" w:rsidRDefault="00034EB2" w:rsidP="00034EB2">
      <w:pPr>
        <w:pStyle w:val="FootnoteText"/>
        <w:rPr>
          <w:rFonts w:ascii="Georgia" w:hAnsi="Georgia"/>
        </w:rPr>
      </w:pPr>
      <w:r w:rsidRPr="00345045">
        <w:rPr>
          <w:rStyle w:val="FootnoteReference"/>
          <w:rFonts w:ascii="Georgia" w:hAnsi="Georgia"/>
        </w:rPr>
        <w:footnoteRef/>
      </w:r>
      <w:r w:rsidRPr="00345045">
        <w:rPr>
          <w:rFonts w:ascii="Georgia" w:hAnsi="Georgia"/>
        </w:rPr>
        <w:t xml:space="preserve"> For further background, see the author’s paper: Steiner, “David </w:t>
      </w:r>
      <w:r w:rsidRPr="00345045">
        <w:rPr>
          <w:rFonts w:ascii="Georgia" w:hAnsi="Georgia"/>
          <w:bCs/>
        </w:rPr>
        <w:t xml:space="preserve">Curriculum literacy in schools of education?” Learning First, 2018 – download here: </w:t>
      </w:r>
    </w:p>
    <w:p w14:paraId="5FD39F41" w14:textId="77777777" w:rsidR="00034EB2" w:rsidRPr="00345045" w:rsidRDefault="00CE3AF7" w:rsidP="00034EB2">
      <w:pPr>
        <w:pStyle w:val="FootnoteText"/>
        <w:rPr>
          <w:rFonts w:ascii="Georgia" w:hAnsi="Georgia"/>
        </w:rPr>
      </w:pPr>
      <w:hyperlink r:id="rId11" w:history="1">
        <w:r w:rsidR="00034EB2" w:rsidRPr="00345045">
          <w:rPr>
            <w:rStyle w:val="Hyperlink"/>
            <w:rFonts w:ascii="Georgia" w:hAnsi="Georgia"/>
          </w:rPr>
          <w:t>https://jscholarship.library.jhu.edu/bitstream/handle/1774.2/62968/curriculum-literacy-in-schools-of-education-final-2911-1.pdf?sequence=1&amp;isAllowed=y</w:t>
        </w:r>
      </w:hyperlink>
    </w:p>
  </w:footnote>
  <w:footnote w:id="9">
    <w:p w14:paraId="0000006B" w14:textId="77777777" w:rsidR="00C1327D" w:rsidRPr="00345045" w:rsidRDefault="00B65CB4">
      <w:pPr>
        <w:rPr>
          <w:rFonts w:ascii="Georgia" w:eastAsia="Georgia" w:hAnsi="Georgia" w:cs="Georgia"/>
          <w:sz w:val="20"/>
          <w:szCs w:val="20"/>
        </w:rPr>
      </w:pPr>
      <w:r w:rsidRPr="00345045">
        <w:rPr>
          <w:rFonts w:ascii="Georgia" w:hAnsi="Georgia"/>
          <w:vertAlign w:val="superscript"/>
        </w:rPr>
        <w:footnoteRef/>
      </w:r>
      <w:r w:rsidRPr="00345045">
        <w:rPr>
          <w:rFonts w:ascii="Georgia" w:eastAsia="Georgia" w:hAnsi="Georgia" w:cs="Georgia"/>
          <w:sz w:val="20"/>
          <w:szCs w:val="20"/>
        </w:rPr>
        <w:t xml:space="preserve"> The Institute’s recommendations are based on the recommendations of the Kirwan Commission Report. Regarding clinical practice, the Kirwan Commission commits that, (1) prospective teachers will complete a full school year of practical experience prior to completing an undergraduate teacher education program no later than 5 years following implementation of the legislation; and (2) All practicum (internship) experiences will be the shared responsibility of the public-school district partners and institutions of higher education. Shared responsibility means that the school districts will share accountability for finding placements for qualified candidates and will compensate qualified “supervising” or mentor teachers (Institutions will collaborate with supervising/mentor teachers to evaluate teacher interns and ensure the interns demonstrate all necessary competencies required of teachers. (Kirwan Commission</w:t>
      </w:r>
      <w:r w:rsidRPr="0049187C">
        <w:rPr>
          <w:rFonts w:ascii="Georgia" w:eastAsia="Georgia" w:hAnsi="Georgia" w:cs="Georgia"/>
          <w:sz w:val="20"/>
          <w:szCs w:val="20"/>
        </w:rPr>
        <w:t xml:space="preserve"> </w:t>
      </w:r>
      <w:r w:rsidRPr="00345045">
        <w:rPr>
          <w:rFonts w:ascii="Georgia" w:eastAsia="Georgia" w:hAnsi="Georgia" w:cs="Georgia"/>
          <w:sz w:val="20"/>
          <w:szCs w:val="20"/>
        </w:rPr>
        <w:t>Report: Section on Teacher Preparation (Maryland, January 2021) Based on a Gap Analysis, MD vs Best in the World.)</w:t>
      </w:r>
    </w:p>
  </w:footnote>
  <w:footnote w:id="10">
    <w:p w14:paraId="6BC42346" w14:textId="77777777" w:rsidR="00E80B63" w:rsidRPr="00345045" w:rsidRDefault="00E80B63" w:rsidP="00E80B63">
      <w:pPr>
        <w:pStyle w:val="FootnoteText"/>
        <w:rPr>
          <w:rFonts w:ascii="Georgia" w:hAnsi="Georgia"/>
        </w:rPr>
      </w:pPr>
      <w:r w:rsidRPr="00345045">
        <w:rPr>
          <w:rStyle w:val="FootnoteReference"/>
          <w:rFonts w:ascii="Georgia" w:hAnsi="Georgia"/>
        </w:rPr>
        <w:footnoteRef/>
      </w:r>
      <w:r w:rsidRPr="00345045">
        <w:rPr>
          <w:rFonts w:ascii="Georgia" w:hAnsi="Georgia"/>
        </w:rPr>
        <w:t xml:space="preserve"> Of all American states, Louisiana has taken the lead in its emphasis on clinical preparation and competency based teacher preparation. For an analysis of its approach and an early evaluation of efficacy, please see this report from RAND: </w:t>
      </w:r>
      <w:hyperlink r:id="rId12" w:history="1">
        <w:r w:rsidRPr="00100661">
          <w:rPr>
            <w:rStyle w:val="Hyperlink"/>
            <w:rFonts w:ascii="Georgia" w:hAnsi="Georgia"/>
          </w:rPr>
          <w:t>https://www.rand.org/content/dam/rand/pubs/research_reports/RR2300/RR2303z3/RAND_RR2303z3.pdf</w:t>
        </w:r>
      </w:hyperlink>
    </w:p>
  </w:footnote>
  <w:footnote w:id="11">
    <w:p w14:paraId="0000006D" w14:textId="6D4E56AE" w:rsidR="00C1327D" w:rsidRPr="00345045" w:rsidRDefault="00B65CB4">
      <w:pPr>
        <w:rPr>
          <w:rFonts w:ascii="Georgia" w:eastAsia="Georgia" w:hAnsi="Georgia" w:cs="Georgia"/>
          <w:sz w:val="20"/>
          <w:szCs w:val="20"/>
        </w:rPr>
      </w:pPr>
      <w:r w:rsidRPr="00345045">
        <w:rPr>
          <w:rFonts w:ascii="Georgia" w:hAnsi="Georgia"/>
          <w:vertAlign w:val="superscript"/>
        </w:rPr>
        <w:footnoteRef/>
      </w:r>
      <w:r w:rsidRPr="00345045">
        <w:rPr>
          <w:rFonts w:ascii="Georgia" w:eastAsia="Georgia" w:hAnsi="Georgia" w:cs="Georgia"/>
          <w:sz w:val="20"/>
          <w:szCs w:val="20"/>
        </w:rPr>
        <w:t xml:space="preserve"> The Science of Learning focuses on cognitive principles (including cognitive development, short and long</w:t>
      </w:r>
      <w:r w:rsidR="006915D9" w:rsidRPr="00345045">
        <w:rPr>
          <w:rFonts w:ascii="Georgia" w:eastAsia="Georgia" w:hAnsi="Georgia" w:cs="Georgia"/>
          <w:sz w:val="20"/>
          <w:szCs w:val="20"/>
        </w:rPr>
        <w:t>-</w:t>
      </w:r>
      <w:r w:rsidRPr="00345045">
        <w:rPr>
          <w:rFonts w:ascii="Georgia" w:eastAsia="Georgia" w:hAnsi="Georgia" w:cs="Georgia"/>
          <w:sz w:val="20"/>
          <w:szCs w:val="20"/>
        </w:rPr>
        <w:t xml:space="preserve">term memory, practice and feedback, knowledge transfer, conceptual understanding, teacher beliefs, self-determination, motivation, and misconceptions), with each domain being linked explicitly to pedagogical strategies. See: Deans for Impact — The Science of Learning. Retrieved 11/21/2020 from: </w:t>
      </w:r>
      <w:hyperlink r:id="rId13">
        <w:r w:rsidRPr="00345045">
          <w:rPr>
            <w:rFonts w:ascii="Georgia" w:eastAsia="Georgia" w:hAnsi="Georgia" w:cs="Georgia"/>
            <w:color w:val="0563C1"/>
            <w:sz w:val="20"/>
            <w:szCs w:val="20"/>
            <w:u w:val="single"/>
          </w:rPr>
          <w:t>https://deansforimpact.org/wp-content/uploads/2016/12/The_Science_of_Learning.pdf</w:t>
        </w:r>
      </w:hyperlink>
      <w:r w:rsidRPr="00345045">
        <w:rPr>
          <w:rFonts w:ascii="Georgia" w:eastAsia="Georgia" w:hAnsi="Georgia" w:cs="Georgia"/>
          <w:sz w:val="20"/>
          <w:szCs w:val="20"/>
        </w:rPr>
        <w:t xml:space="preserve">. Similarly, for future teachers of Pre-K through grade 5, Deans for Impact have developed the Science of Learning for Early Learning. See: Deans for Impact — The Science of Early Learning. Retrieved 11/21/2020 from: </w:t>
      </w:r>
      <w:hyperlink r:id="rId14">
        <w:r w:rsidRPr="00345045">
          <w:rPr>
            <w:rFonts w:ascii="Georgia" w:eastAsia="Georgia" w:hAnsi="Georgia" w:cs="Georgia"/>
            <w:color w:val="0563C1"/>
            <w:sz w:val="20"/>
            <w:szCs w:val="20"/>
            <w:u w:val="single"/>
          </w:rPr>
          <w:t>https://deansforimpact.org/wp-content/uploads/2017/01/The_Science_of_Early_Learning.pdf</w:t>
        </w:r>
      </w:hyperlink>
      <w:r w:rsidRPr="00345045">
        <w:rPr>
          <w:rFonts w:ascii="Georgia" w:eastAsia="Georgia" w:hAnsi="Georgia" w:cs="Georgia"/>
          <w:sz w:val="20"/>
          <w:szCs w:val="20"/>
        </w:rPr>
        <w:t>.</w:t>
      </w:r>
    </w:p>
  </w:footnote>
  <w:footnote w:id="12">
    <w:p w14:paraId="6CA4F443" w14:textId="62DDD781" w:rsidR="003C4AB6" w:rsidRPr="0049187C" w:rsidRDefault="003C4AB6">
      <w:pPr>
        <w:pStyle w:val="FootnoteText"/>
        <w:rPr>
          <w:rFonts w:ascii="Georgia" w:hAnsi="Georgia"/>
        </w:rPr>
      </w:pPr>
      <w:r w:rsidRPr="00345045">
        <w:rPr>
          <w:rStyle w:val="FootnoteReference"/>
          <w:rFonts w:ascii="Georgia" w:hAnsi="Georgia"/>
        </w:rPr>
        <w:footnoteRef/>
      </w:r>
      <w:r w:rsidRPr="00345045">
        <w:rPr>
          <w:rFonts w:ascii="Georgia" w:hAnsi="Georgia"/>
        </w:rPr>
        <w:t xml:space="preserve"> </w:t>
      </w:r>
      <w:r w:rsidR="006D4765">
        <w:rPr>
          <w:rFonts w:ascii="Georgia" w:hAnsi="Georgia"/>
        </w:rPr>
        <w:t xml:space="preserve">In reference to the </w:t>
      </w:r>
      <w:r w:rsidR="00283C94">
        <w:rPr>
          <w:rFonts w:ascii="Georgia" w:hAnsi="Georgia"/>
        </w:rPr>
        <w:t>“</w:t>
      </w:r>
      <w:r w:rsidR="006D4765" w:rsidRPr="006D4765">
        <w:rPr>
          <w:rFonts w:ascii="Georgia" w:hAnsi="Georgia"/>
        </w:rPr>
        <w:t>2018 Nebraska Clinical Practice Assessment</w:t>
      </w:r>
      <w:r w:rsidR="00283C94">
        <w:rPr>
          <w:rFonts w:ascii="Georgia" w:hAnsi="Georgia"/>
        </w:rPr>
        <w:t>” here</w:t>
      </w:r>
      <w:r w:rsidR="00E80B63">
        <w:rPr>
          <w:rFonts w:ascii="Georgia" w:hAnsi="Georgia"/>
        </w:rPr>
        <w:t xml:space="preserve">: </w:t>
      </w:r>
      <w:hyperlink r:id="rId15" w:history="1">
        <w:r w:rsidRPr="00345045">
          <w:rPr>
            <w:rStyle w:val="Hyperlink"/>
            <w:rFonts w:ascii="Georgia" w:hAnsi="Georgia"/>
          </w:rPr>
          <w:t>https://www.education.ne.gov/educatorprep/information-for-institutions/ihe-clinicalprac/</w:t>
        </w:r>
      </w:hyperlink>
      <w:r w:rsidR="00331E77">
        <w:rPr>
          <w:rStyle w:val="Hyperlink"/>
          <w:rFonts w:ascii="Georgia" w:hAnsi="Georgia"/>
        </w:rPr>
        <w:t xml:space="preserve"> </w:t>
      </w:r>
    </w:p>
  </w:footnote>
  <w:footnote w:id="13">
    <w:p w14:paraId="00000067" w14:textId="1A0D5967" w:rsidR="00C1327D" w:rsidRPr="00345045" w:rsidRDefault="00B65CB4">
      <w:pPr>
        <w:rPr>
          <w:rFonts w:ascii="Georgia" w:eastAsia="Georgia" w:hAnsi="Georgia" w:cs="Georgia"/>
          <w:sz w:val="20"/>
          <w:szCs w:val="20"/>
        </w:rPr>
      </w:pPr>
      <w:r w:rsidRPr="00345045">
        <w:rPr>
          <w:rFonts w:ascii="Georgia" w:hAnsi="Georgia"/>
          <w:vertAlign w:val="superscript"/>
        </w:rPr>
        <w:footnoteRef/>
      </w:r>
      <w:r w:rsidRPr="00345045">
        <w:rPr>
          <w:rFonts w:ascii="Georgia" w:eastAsia="Georgia" w:hAnsi="Georgia" w:cs="Georgia"/>
          <w:sz w:val="20"/>
          <w:szCs w:val="20"/>
        </w:rPr>
        <w:t xml:space="preserve"> </w:t>
      </w:r>
      <w:r w:rsidR="00CE7076">
        <w:rPr>
          <w:rFonts w:ascii="Georgia" w:eastAsia="Georgia" w:hAnsi="Georgia" w:cs="Georgia"/>
          <w:sz w:val="20"/>
          <w:szCs w:val="20"/>
        </w:rPr>
        <w:t xml:space="preserve">See </w:t>
      </w:r>
      <w:r w:rsidRPr="00345045">
        <w:rPr>
          <w:rFonts w:ascii="Georgia" w:eastAsia="Georgia" w:hAnsi="Georgia" w:cs="Georgia"/>
          <w:sz w:val="20"/>
          <w:szCs w:val="20"/>
        </w:rPr>
        <w:t xml:space="preserve">Curry School of Education and Human Development, University of Virginia. Classroom Assessment Scoring System. Retrieved 11/21/2020 from: </w:t>
      </w:r>
      <w:hyperlink r:id="rId16">
        <w:r w:rsidRPr="00345045">
          <w:rPr>
            <w:rFonts w:ascii="Georgia" w:eastAsia="Georgia" w:hAnsi="Georgia" w:cs="Georgia"/>
            <w:sz w:val="20"/>
            <w:szCs w:val="20"/>
            <w:u w:val="single"/>
          </w:rPr>
          <w:t>https://curry.virginia.edu/classroom-assessment-scoring-system</w:t>
        </w:r>
      </w:hyperlink>
      <w:r w:rsidRPr="00345045">
        <w:rPr>
          <w:rFonts w:ascii="Georgia" w:eastAsia="Georgia" w:hAnsi="Georgia" w:cs="Georgia"/>
          <w:sz w:val="20"/>
          <w:szCs w:val="20"/>
        </w:rPr>
        <w:t xml:space="preserve"> </w:t>
      </w:r>
    </w:p>
  </w:footnote>
  <w:footnote w:id="14">
    <w:p w14:paraId="00000066" w14:textId="4A5C5528" w:rsidR="00C1327D" w:rsidRPr="00345045" w:rsidRDefault="00B65CB4">
      <w:pPr>
        <w:rPr>
          <w:rFonts w:ascii="Georgia" w:eastAsia="Georgia" w:hAnsi="Georgia" w:cs="Georgia"/>
          <w:sz w:val="20"/>
          <w:szCs w:val="20"/>
        </w:rPr>
      </w:pPr>
      <w:r w:rsidRPr="00345045">
        <w:rPr>
          <w:rFonts w:ascii="Georgia" w:hAnsi="Georgia"/>
          <w:vertAlign w:val="superscript"/>
        </w:rPr>
        <w:footnoteRef/>
      </w:r>
      <w:r w:rsidRPr="00345045">
        <w:rPr>
          <w:rFonts w:ascii="Georgia" w:eastAsia="Georgia" w:hAnsi="Georgia" w:cs="Georgia"/>
          <w:sz w:val="20"/>
          <w:szCs w:val="20"/>
        </w:rPr>
        <w:t xml:space="preserve"> See current efforts in Louisiana: Louisiana Believes. Louisiana Mentor Teachers. Retrieved 11/21/2020 from: </w:t>
      </w:r>
      <w:hyperlink r:id="rId17">
        <w:r w:rsidRPr="00345045">
          <w:rPr>
            <w:rFonts w:ascii="Georgia" w:eastAsia="Georgia" w:hAnsi="Georgia" w:cs="Georgia"/>
            <w:sz w:val="20"/>
            <w:szCs w:val="20"/>
            <w:u w:val="single"/>
          </w:rPr>
          <w:t>https://www.louisianabelieves.com/teaching/louisiana-mentor-teachers</w:t>
        </w:r>
      </w:hyperlink>
      <w:r w:rsidRPr="00345045">
        <w:rPr>
          <w:rFonts w:ascii="Georgia" w:eastAsia="Georgia" w:hAnsi="Georgia" w:cs="Georgia"/>
          <w:sz w:val="20"/>
          <w:szCs w:val="20"/>
        </w:rPr>
        <w:t xml:space="preserve"> </w:t>
      </w:r>
    </w:p>
  </w:footnote>
  <w:footnote w:id="15">
    <w:p w14:paraId="38337510" w14:textId="299A23EE" w:rsidR="0047250E" w:rsidRPr="00345045" w:rsidRDefault="00B65CB4">
      <w:pPr>
        <w:rPr>
          <w:rFonts w:ascii="Georgia" w:eastAsia="Georgia" w:hAnsi="Georgia" w:cs="Georgia"/>
          <w:sz w:val="20"/>
          <w:szCs w:val="20"/>
        </w:rPr>
      </w:pPr>
      <w:r w:rsidRPr="00345045">
        <w:rPr>
          <w:rFonts w:ascii="Georgia" w:hAnsi="Georgia"/>
          <w:vertAlign w:val="superscript"/>
        </w:rPr>
        <w:footnoteRef/>
      </w:r>
      <w:r w:rsidRPr="00345045">
        <w:rPr>
          <w:rFonts w:ascii="Georgia" w:eastAsia="Georgia" w:hAnsi="Georgia" w:cs="Georgia"/>
          <w:sz w:val="20"/>
          <w:szCs w:val="20"/>
        </w:rPr>
        <w:t xml:space="preserve"> “</w:t>
      </w:r>
      <w:proofErr w:type="spellStart"/>
      <w:r w:rsidRPr="00345045">
        <w:rPr>
          <w:rFonts w:ascii="Georgia" w:eastAsia="Georgia" w:hAnsi="Georgia" w:cs="Georgia"/>
          <w:sz w:val="20"/>
          <w:szCs w:val="20"/>
          <w:highlight w:val="white"/>
        </w:rPr>
        <w:t>edTPA</w:t>
      </w:r>
      <w:proofErr w:type="spellEnd"/>
      <w:r w:rsidRPr="00345045">
        <w:rPr>
          <w:rFonts w:ascii="Georgia" w:eastAsia="Georgia" w:hAnsi="Georgia" w:cs="Georgia"/>
          <w:sz w:val="20"/>
          <w:szCs w:val="20"/>
          <w:highlight w:val="white"/>
        </w:rPr>
        <w:t xml:space="preserve"> is a performance-based, subject-specific assessment and support system used by teacher preparation programs throughout the United States to emphasize, measure and support the skills and knowledge that all teachers need from Day 1 in the classroom.” </w:t>
      </w:r>
      <w:r w:rsidRPr="00345045">
        <w:rPr>
          <w:rFonts w:ascii="Georgia" w:eastAsia="Georgia" w:hAnsi="Georgia" w:cs="Georgia"/>
          <w:sz w:val="20"/>
          <w:szCs w:val="20"/>
        </w:rPr>
        <w:t xml:space="preserve">See: </w:t>
      </w:r>
      <w:hyperlink r:id="rId18">
        <w:r w:rsidRPr="00345045">
          <w:rPr>
            <w:rFonts w:ascii="Georgia" w:eastAsia="Georgia" w:hAnsi="Georgia" w:cs="Georgia"/>
            <w:sz w:val="20"/>
            <w:szCs w:val="20"/>
            <w:u w:val="single"/>
          </w:rPr>
          <w:t>http://www.edtpa.com/</w:t>
        </w:r>
      </w:hyperlink>
      <w:r w:rsidRPr="00345045">
        <w:rPr>
          <w:rFonts w:ascii="Georgia" w:eastAsia="Georgia" w:hAnsi="Georgia" w:cs="Georgia"/>
          <w:sz w:val="20"/>
          <w:szCs w:val="20"/>
        </w:rPr>
        <w:t xml:space="preserve"> </w:t>
      </w:r>
      <w:r w:rsidR="00172F33" w:rsidRPr="00345045">
        <w:rPr>
          <w:rFonts w:ascii="Georgia" w:eastAsia="Georgia" w:hAnsi="Georgia" w:cs="Georgia"/>
          <w:sz w:val="20"/>
          <w:szCs w:val="20"/>
        </w:rPr>
        <w:t xml:space="preserve">Research on the correlations between high scores on </w:t>
      </w:r>
      <w:proofErr w:type="spellStart"/>
      <w:r w:rsidR="00172F33" w:rsidRPr="00345045">
        <w:rPr>
          <w:rFonts w:ascii="Georgia" w:eastAsia="Georgia" w:hAnsi="Georgia" w:cs="Georgia"/>
          <w:sz w:val="20"/>
          <w:szCs w:val="20"/>
        </w:rPr>
        <w:t>edTPA</w:t>
      </w:r>
      <w:proofErr w:type="spellEnd"/>
      <w:r w:rsidR="00172F33" w:rsidRPr="00345045">
        <w:rPr>
          <w:rFonts w:ascii="Georgia" w:eastAsia="Georgia" w:hAnsi="Georgia" w:cs="Georgia"/>
          <w:sz w:val="20"/>
          <w:szCs w:val="20"/>
        </w:rPr>
        <w:t xml:space="preserve"> and student outcomes is however not sufficiently persuasive to mandate this </w:t>
      </w:r>
      <w:r w:rsidR="003C4AB6" w:rsidRPr="00345045">
        <w:rPr>
          <w:rFonts w:ascii="Georgia" w:eastAsia="Georgia" w:hAnsi="Georgia" w:cs="Georgia"/>
          <w:sz w:val="20"/>
          <w:szCs w:val="20"/>
        </w:rPr>
        <w:t xml:space="preserve">particular </w:t>
      </w:r>
      <w:r w:rsidR="00172F33" w:rsidRPr="00345045">
        <w:rPr>
          <w:rFonts w:ascii="Georgia" w:eastAsia="Georgia" w:hAnsi="Georgia" w:cs="Georgia"/>
          <w:sz w:val="20"/>
          <w:szCs w:val="20"/>
        </w:rPr>
        <w:t xml:space="preserve">assessment: </w:t>
      </w:r>
      <w:hyperlink r:id="rId19" w:history="1">
        <w:r w:rsidR="0047250E" w:rsidRPr="00345045">
          <w:rPr>
            <w:rStyle w:val="Hyperlink"/>
            <w:rFonts w:ascii="Georgia" w:eastAsia="Georgia" w:hAnsi="Georgia" w:cs="Georgia"/>
            <w:sz w:val="20"/>
            <w:szCs w:val="20"/>
          </w:rPr>
          <w:t>https://blogs.edweek.org/edweek/teacherbeat/2016/05/edtpa_teaching_exam_study_mixed.html</w:t>
        </w:r>
      </w:hyperlink>
    </w:p>
  </w:footnote>
  <w:footnote w:id="16">
    <w:p w14:paraId="0000006A" w14:textId="7AC613BC" w:rsidR="00C1327D" w:rsidRPr="00345045" w:rsidRDefault="00B65CB4">
      <w:pPr>
        <w:rPr>
          <w:rFonts w:ascii="Georgia" w:eastAsia="Georgia" w:hAnsi="Georgia" w:cs="Georgia"/>
          <w:sz w:val="20"/>
          <w:szCs w:val="20"/>
        </w:rPr>
      </w:pPr>
      <w:r w:rsidRPr="00345045">
        <w:rPr>
          <w:rFonts w:ascii="Georgia" w:hAnsi="Georgia"/>
          <w:vertAlign w:val="superscript"/>
        </w:rPr>
        <w:footnoteRef/>
      </w:r>
      <w:r w:rsidRPr="00345045">
        <w:rPr>
          <w:rFonts w:ascii="Georgia" w:eastAsia="Georgia" w:hAnsi="Georgia" w:cs="Georgia"/>
          <w:sz w:val="20"/>
          <w:szCs w:val="20"/>
        </w:rPr>
        <w:t xml:space="preserve"> “The PPAT assessment evaluates test takers on their abilities to impact student learning as it relates to the </w:t>
      </w:r>
      <w:hyperlink r:id="rId20">
        <w:r w:rsidRPr="00345045">
          <w:rPr>
            <w:rFonts w:ascii="Georgia" w:eastAsia="Georgia" w:hAnsi="Georgia" w:cs="Georgia"/>
            <w:sz w:val="20"/>
            <w:szCs w:val="20"/>
            <w:u w:val="single"/>
          </w:rPr>
          <w:t>InTASC Model Core Teaching Standards (PDF)</w:t>
        </w:r>
      </w:hyperlink>
      <w:r w:rsidRPr="00345045">
        <w:rPr>
          <w:rFonts w:ascii="Georgia" w:eastAsia="Georgia" w:hAnsi="Georgia" w:cs="Georgia"/>
          <w:sz w:val="20"/>
          <w:szCs w:val="20"/>
        </w:rPr>
        <w:t xml:space="preserve">, demonstrating that they have the basic pedagogical content knowledge and application for the classroom to begin teaching as an entry-level teacher. It is designed to: develop more effective teachers in the classroom; identify strengths and areas for improvement of practice; allow student teachers to continually refine their teaching practices; contribute to a development plan for professional growth.” See: </w:t>
      </w:r>
      <w:hyperlink r:id="rId21">
        <w:r w:rsidRPr="00345045">
          <w:rPr>
            <w:rFonts w:ascii="Georgia" w:eastAsia="Georgia" w:hAnsi="Georgia" w:cs="Georgia"/>
            <w:sz w:val="20"/>
            <w:szCs w:val="20"/>
            <w:u w:val="single"/>
          </w:rPr>
          <w:t>https://www.ets.org/ppa/test-takers/teachers/about</w:t>
        </w:r>
      </w:hyperlink>
      <w:r w:rsidRPr="00345045">
        <w:rPr>
          <w:rFonts w:ascii="Georgia" w:eastAsia="Georgia" w:hAnsi="Georgia" w:cs="Georgia"/>
          <w:sz w:val="20"/>
          <w:szCs w:val="20"/>
        </w:rPr>
        <w:t xml:space="preserve"> </w:t>
      </w:r>
    </w:p>
  </w:footnote>
  <w:footnote w:id="17">
    <w:p w14:paraId="753AD822" w14:textId="699F0D31" w:rsidR="00CE7076" w:rsidRDefault="00CE7076" w:rsidP="00CE7076">
      <w:pPr>
        <w:pStyle w:val="FootnoteText"/>
      </w:pPr>
      <w:r w:rsidRPr="00345045">
        <w:rPr>
          <w:rStyle w:val="FootnoteReference"/>
          <w:rFonts w:ascii="Georgia" w:hAnsi="Georgia"/>
        </w:rPr>
        <w:footnoteRef/>
      </w:r>
      <w:r w:rsidRPr="00345045">
        <w:rPr>
          <w:rFonts w:ascii="Georgia" w:hAnsi="Georgia"/>
        </w:rPr>
        <w:t xml:space="preserve"> </w:t>
      </w:r>
      <w:r w:rsidR="00F4553C">
        <w:rPr>
          <w:rFonts w:ascii="Georgia" w:hAnsi="Georgia"/>
        </w:rPr>
        <w:t>See</w:t>
      </w:r>
      <w:r w:rsidR="006D4765">
        <w:rPr>
          <w:rFonts w:ascii="Georgia" w:hAnsi="Georgia"/>
        </w:rPr>
        <w:t xml:space="preserve"> </w:t>
      </w:r>
      <w:r w:rsidR="006D4765" w:rsidRPr="006D4765">
        <w:rPr>
          <w:rFonts w:ascii="Georgia" w:hAnsi="Georgia"/>
        </w:rPr>
        <w:t>Nebraska Department of Education Teacher Vacancy Survey Report</w:t>
      </w:r>
      <w:r w:rsidR="00F4553C">
        <w:rPr>
          <w:rFonts w:ascii="Georgia" w:hAnsi="Georgia"/>
        </w:rPr>
        <w:t xml:space="preserve">: </w:t>
      </w:r>
      <w:hyperlink r:id="rId22" w:history="1">
        <w:r w:rsidRPr="00345045">
          <w:rPr>
            <w:rStyle w:val="Hyperlink"/>
            <w:rFonts w:ascii="Georgia" w:hAnsi="Georgia"/>
          </w:rPr>
          <w:t>https://cdn.education.ne.gov/wp-content/uploads/2020/01/2019-Teacher-Vacancy-Report.pdf</w:t>
        </w:r>
      </w:hyperlink>
    </w:p>
  </w:footnote>
  <w:footnote w:id="18">
    <w:p w14:paraId="0000006C" w14:textId="77777777" w:rsidR="00C1327D" w:rsidRPr="00345045" w:rsidRDefault="00B65CB4">
      <w:pPr>
        <w:rPr>
          <w:rFonts w:ascii="Georgia" w:eastAsia="Georgia" w:hAnsi="Georgia" w:cs="Georgia"/>
          <w:sz w:val="20"/>
          <w:szCs w:val="20"/>
        </w:rPr>
      </w:pPr>
      <w:r w:rsidRPr="00345045">
        <w:rPr>
          <w:rFonts w:ascii="Georgia" w:hAnsi="Georgia"/>
          <w:vertAlign w:val="superscript"/>
        </w:rPr>
        <w:footnoteRef/>
      </w:r>
      <w:r w:rsidRPr="00345045">
        <w:rPr>
          <w:rFonts w:ascii="Georgia" w:eastAsia="Georgia" w:hAnsi="Georgia" w:cs="Georgia"/>
          <w:sz w:val="20"/>
          <w:szCs w:val="20"/>
        </w:rPr>
        <w:t xml:space="preserve"> For example, In New Orleans, Louisiana, where the city's charter schools are operated by 38 different nonprofit organizations, officials are working with the organizations to build coalitions with local universities to attract prospective teachers. See: </w:t>
      </w:r>
      <w:hyperlink r:id="rId23">
        <w:r w:rsidRPr="00345045">
          <w:rPr>
            <w:rFonts w:ascii="Georgia" w:eastAsia="Georgia" w:hAnsi="Georgia" w:cs="Georgia"/>
            <w:color w:val="1155CC"/>
            <w:sz w:val="20"/>
            <w:szCs w:val="20"/>
            <w:u w:val="single"/>
          </w:rPr>
          <w:t>https://www.nola.com/news/education/article_46b121e0-f1e7-11e9-bb3c-0fb577bbd602.html</w:t>
        </w:r>
      </w:hyperlink>
      <w:r w:rsidRPr="00345045">
        <w:rPr>
          <w:rFonts w:ascii="Georgia" w:eastAsia="Georgia" w:hAnsi="Georgia" w:cs="Georgia"/>
          <w:sz w:val="20"/>
          <w:szCs w:val="20"/>
        </w:rPr>
        <w:t xml:space="preserve"> (retrieved 11/21/2020).</w:t>
      </w:r>
    </w:p>
  </w:footnote>
  <w:footnote w:id="19">
    <w:p w14:paraId="2CD5C0C1" w14:textId="558B3B69" w:rsidR="00E405BB" w:rsidRPr="00345045" w:rsidRDefault="00E405BB" w:rsidP="00E405BB">
      <w:pPr>
        <w:rPr>
          <w:rFonts w:ascii="Georgia" w:eastAsia="Georgia" w:hAnsi="Georgia" w:cs="Georgia"/>
          <w:sz w:val="20"/>
          <w:szCs w:val="20"/>
        </w:rPr>
      </w:pPr>
      <w:r w:rsidRPr="00345045">
        <w:rPr>
          <w:rFonts w:ascii="Georgia" w:hAnsi="Georgia"/>
          <w:vertAlign w:val="superscript"/>
        </w:rPr>
        <w:footnoteRef/>
      </w:r>
      <w:r w:rsidRPr="00345045">
        <w:rPr>
          <w:rFonts w:ascii="Georgia" w:eastAsia="Georgia" w:hAnsi="Georgia" w:cs="Georgia"/>
          <w:sz w:val="20"/>
          <w:szCs w:val="20"/>
        </w:rPr>
        <w:t xml:space="preserve"> National Board for Professional Teaching Standards. In Your State. Retrieved 11/21/2020 from </w:t>
      </w:r>
      <w:hyperlink r:id="rId24">
        <w:r w:rsidRPr="00345045">
          <w:rPr>
            <w:rFonts w:ascii="Georgia" w:eastAsia="Georgia" w:hAnsi="Georgia" w:cs="Georgia"/>
            <w:color w:val="1155CC"/>
            <w:sz w:val="20"/>
            <w:szCs w:val="20"/>
            <w:u w:val="single"/>
          </w:rPr>
          <w:t>https://www.nbpts.org/national-board-certification/in-your-state/</w:t>
        </w:r>
      </w:hyperlink>
      <w:r w:rsidRPr="00345045">
        <w:rPr>
          <w:rFonts w:ascii="Georgia" w:eastAsia="Georgia" w:hAnsi="Georgia" w:cs="Georgia"/>
          <w:sz w:val="20"/>
          <w:szCs w:val="20"/>
        </w:rPr>
        <w:t xml:space="preserve"> </w:t>
      </w:r>
    </w:p>
  </w:footnote>
  <w:footnote w:id="20">
    <w:p w14:paraId="1F5084D5" w14:textId="77777777" w:rsidR="00E405BB" w:rsidRPr="00345045" w:rsidRDefault="00E405BB" w:rsidP="00E405BB">
      <w:pPr>
        <w:rPr>
          <w:rFonts w:ascii="Georgia" w:eastAsia="Georgia" w:hAnsi="Georgia" w:cs="Georgia"/>
          <w:sz w:val="20"/>
          <w:szCs w:val="20"/>
        </w:rPr>
      </w:pPr>
      <w:r w:rsidRPr="00345045">
        <w:rPr>
          <w:rFonts w:ascii="Georgia" w:hAnsi="Georgia"/>
          <w:vertAlign w:val="superscript"/>
        </w:rPr>
        <w:footnoteRef/>
      </w:r>
      <w:r w:rsidRPr="00345045">
        <w:rPr>
          <w:rFonts w:ascii="Georgia" w:eastAsia="Georgia" w:hAnsi="Georgia" w:cs="Georgia"/>
          <w:sz w:val="20"/>
          <w:szCs w:val="20"/>
        </w:rPr>
        <w:t xml:space="preserve"> See, for example, Kirwan Commission Meeting Materials (p. 10). Retrieved 11/21/2020 from:  </w:t>
      </w:r>
      <w:hyperlink r:id="rId25">
        <w:r w:rsidRPr="00345045">
          <w:rPr>
            <w:rFonts w:ascii="Georgia" w:eastAsia="Georgia" w:hAnsi="Georgia" w:cs="Georgia"/>
            <w:color w:val="1155CC"/>
            <w:sz w:val="20"/>
            <w:szCs w:val="20"/>
            <w:u w:val="single"/>
          </w:rPr>
          <w:t>http://marylandpublicschools.org/stateboard/Documents/01232019/KirwanCommissionMeetingMaterials.pdf</w:t>
        </w:r>
      </w:hyperlink>
      <w:r w:rsidRPr="00345045">
        <w:rPr>
          <w:rFonts w:ascii="Georgia" w:eastAsia="Georgia" w:hAnsi="Georgia" w:cs="Georgia"/>
          <w:sz w:val="20"/>
          <w:szCs w:val="20"/>
        </w:rPr>
        <w:t xml:space="preserve"> </w:t>
      </w:r>
    </w:p>
  </w:footnote>
  <w:footnote w:id="21">
    <w:p w14:paraId="0000006F" w14:textId="169E67AA" w:rsidR="00C1327D" w:rsidRPr="00345045" w:rsidRDefault="00B65CB4">
      <w:pPr>
        <w:rPr>
          <w:rFonts w:ascii="Georgia" w:eastAsia="Georgia" w:hAnsi="Georgia" w:cs="Georgia"/>
          <w:sz w:val="20"/>
          <w:szCs w:val="20"/>
        </w:rPr>
      </w:pPr>
      <w:r w:rsidRPr="00345045">
        <w:rPr>
          <w:rFonts w:ascii="Georgia" w:hAnsi="Georgia"/>
          <w:vertAlign w:val="superscript"/>
        </w:rPr>
        <w:footnoteRef/>
      </w:r>
      <w:r w:rsidRPr="00345045">
        <w:rPr>
          <w:rFonts w:ascii="Georgia" w:eastAsia="Georgia" w:hAnsi="Georgia" w:cs="Georgia"/>
          <w:sz w:val="20"/>
          <w:szCs w:val="20"/>
        </w:rPr>
        <w:t xml:space="preserve"> University of Nebraska Kearney</w:t>
      </w:r>
      <w:r w:rsidR="00E80B63">
        <w:rPr>
          <w:rFonts w:ascii="Georgia" w:eastAsia="Georgia" w:hAnsi="Georgia" w:cs="Georgia"/>
          <w:sz w:val="20"/>
          <w:szCs w:val="20"/>
        </w:rPr>
        <w:t xml:space="preserve"> </w:t>
      </w:r>
      <w:r w:rsidRPr="00345045">
        <w:rPr>
          <w:rFonts w:ascii="Georgia" w:eastAsia="Georgia" w:hAnsi="Georgia" w:cs="Georgia"/>
          <w:sz w:val="20"/>
          <w:szCs w:val="20"/>
        </w:rPr>
        <w:t xml:space="preserve">Transitional Certification Program. Retrieved 11/21/2020 from </w:t>
      </w:r>
      <w:hyperlink r:id="rId26">
        <w:r w:rsidRPr="00345045">
          <w:rPr>
            <w:rFonts w:ascii="Georgia" w:eastAsia="Georgia" w:hAnsi="Georgia" w:cs="Georgia"/>
            <w:color w:val="1155CC"/>
            <w:sz w:val="20"/>
            <w:szCs w:val="20"/>
            <w:u w:val="single"/>
          </w:rPr>
          <w:t>https://www.unk.edu/academics/ted/transitional_certification/index.php</w:t>
        </w:r>
      </w:hyperlink>
      <w:r w:rsidRPr="00345045">
        <w:rPr>
          <w:rFonts w:ascii="Georgia" w:eastAsia="Georgia" w:hAnsi="Georgia" w:cs="Georgia"/>
          <w:sz w:val="20"/>
          <w:szCs w:val="20"/>
        </w:rPr>
        <w:t xml:space="preserve">. </w:t>
      </w:r>
    </w:p>
  </w:footnote>
  <w:footnote w:id="22">
    <w:p w14:paraId="5CC2E8B2" w14:textId="2304D65E" w:rsidR="00E80B63" w:rsidRPr="0049187C" w:rsidRDefault="00E80B63" w:rsidP="00E80B63">
      <w:pPr>
        <w:pStyle w:val="FootnoteText"/>
        <w:rPr>
          <w:rFonts w:ascii="Georgia" w:hAnsi="Georgia"/>
        </w:rPr>
      </w:pPr>
      <w:r w:rsidRPr="00345045">
        <w:rPr>
          <w:rStyle w:val="FootnoteReference"/>
          <w:rFonts w:ascii="Georgia" w:hAnsi="Georgia"/>
        </w:rPr>
        <w:footnoteRef/>
      </w:r>
      <w:r w:rsidRPr="00345045">
        <w:rPr>
          <w:rFonts w:ascii="Georgia" w:hAnsi="Georgia"/>
        </w:rPr>
        <w:t xml:space="preserve"> </w:t>
      </w:r>
      <w:r w:rsidR="00DE5B3B" w:rsidRPr="00DE5B3B">
        <w:rPr>
          <w:rFonts w:ascii="Georgia" w:hAnsi="Georgia"/>
        </w:rPr>
        <w:t>Nebraska Department of Education</w:t>
      </w:r>
      <w:r w:rsidR="00DE5B3B">
        <w:rPr>
          <w:rFonts w:ascii="Georgia" w:hAnsi="Georgia"/>
        </w:rPr>
        <w:t xml:space="preserve"> </w:t>
      </w:r>
      <w:r w:rsidR="00922EFD">
        <w:rPr>
          <w:rFonts w:ascii="Georgia" w:hAnsi="Georgia"/>
        </w:rPr>
        <w:t>Rule 20 (Revised 2014)</w:t>
      </w:r>
      <w:r>
        <w:rPr>
          <w:rFonts w:ascii="Georgia" w:hAnsi="Georgia"/>
        </w:rPr>
        <w:t xml:space="preserve">: </w:t>
      </w:r>
      <w:hyperlink r:id="rId27" w:history="1">
        <w:r w:rsidRPr="00345045">
          <w:rPr>
            <w:rStyle w:val="Hyperlink"/>
            <w:rFonts w:ascii="Georgia" w:hAnsi="Georgia"/>
            <w:iCs/>
          </w:rPr>
          <w:t>https://cdn.education.ne.gov/wp-content/uploads/2017/10/Rule20_2014.pdf</w:t>
        </w:r>
      </w:hyperlink>
    </w:p>
  </w:footnote>
  <w:footnote w:id="23">
    <w:p w14:paraId="4762B11C" w14:textId="460D8DCB" w:rsidR="00CE7076" w:rsidRPr="005C57B0" w:rsidRDefault="00CE7076" w:rsidP="00CE7076">
      <w:pPr>
        <w:pStyle w:val="FootnoteText"/>
        <w:rPr>
          <w:rFonts w:ascii="Georgia" w:hAnsi="Georgia"/>
        </w:rPr>
      </w:pPr>
      <w:r w:rsidRPr="005C57B0">
        <w:rPr>
          <w:rStyle w:val="FootnoteReference"/>
          <w:rFonts w:ascii="Georgia" w:hAnsi="Georgia"/>
        </w:rPr>
        <w:footnoteRef/>
      </w:r>
      <w:r w:rsidRPr="005C57B0">
        <w:rPr>
          <w:rFonts w:ascii="Georgia" w:hAnsi="Georgia"/>
        </w:rPr>
        <w:t xml:space="preserve"> </w:t>
      </w:r>
      <w:r w:rsidR="00DE5B3B" w:rsidRPr="00DE5B3B">
        <w:rPr>
          <w:rFonts w:ascii="Georgia" w:hAnsi="Georgia"/>
        </w:rPr>
        <w:t>Nebraska Department of Education</w:t>
      </w:r>
      <w:r w:rsidR="00DE5B3B">
        <w:rPr>
          <w:rFonts w:ascii="Georgia" w:hAnsi="Georgia"/>
        </w:rPr>
        <w:t xml:space="preserve"> Rule 10 (Revised 2015)</w:t>
      </w:r>
      <w:r w:rsidRPr="005C57B0">
        <w:rPr>
          <w:rFonts w:ascii="Georgia" w:hAnsi="Georgia"/>
        </w:rPr>
        <w:t xml:space="preserve">: </w:t>
      </w:r>
      <w:hyperlink r:id="rId28" w:history="1">
        <w:r w:rsidRPr="005C57B0">
          <w:rPr>
            <w:rStyle w:val="Hyperlink"/>
            <w:rFonts w:ascii="Georgia" w:hAnsi="Georgia"/>
          </w:rPr>
          <w:t>https://cdn.education.ne.gov/wp-content/uploads/2017/10/CLEANRULE10_2015LD.pdf</w:t>
        </w:r>
      </w:hyperlink>
    </w:p>
  </w:footnote>
  <w:footnote w:id="24">
    <w:p w14:paraId="73E3D76C" w14:textId="57D9B572" w:rsidR="00CE7076" w:rsidRPr="005C57B0" w:rsidRDefault="00CE7076" w:rsidP="00CE7076">
      <w:pPr>
        <w:pStyle w:val="FootnoteText"/>
        <w:rPr>
          <w:rFonts w:ascii="Georgia" w:hAnsi="Georgia"/>
        </w:rPr>
      </w:pPr>
      <w:r w:rsidRPr="005C57B0">
        <w:rPr>
          <w:rStyle w:val="FootnoteReference"/>
          <w:rFonts w:ascii="Georgia" w:hAnsi="Georgia"/>
        </w:rPr>
        <w:footnoteRef/>
      </w:r>
      <w:r>
        <w:rPr>
          <w:rFonts w:ascii="Georgia" w:hAnsi="Georgia"/>
        </w:rPr>
        <w:t xml:space="preserve"> </w:t>
      </w:r>
      <w:r w:rsidR="00DE5B3B">
        <w:rPr>
          <w:rFonts w:ascii="Georgia" w:hAnsi="Georgia"/>
        </w:rPr>
        <w:t>“</w:t>
      </w:r>
      <w:r w:rsidR="00DE5B3B" w:rsidRPr="00DE5B3B">
        <w:rPr>
          <w:rFonts w:ascii="Georgia" w:hAnsi="Georgia"/>
        </w:rPr>
        <w:t>State of Nebraska, Standards of Competency: Teaching Profession</w:t>
      </w:r>
      <w:r w:rsidR="00DE5B3B">
        <w:rPr>
          <w:rFonts w:ascii="Georgia" w:hAnsi="Georgia"/>
        </w:rPr>
        <w:t>” brochure</w:t>
      </w:r>
      <w:r>
        <w:rPr>
          <w:rFonts w:ascii="Georgia" w:hAnsi="Georgia"/>
        </w:rPr>
        <w:t xml:space="preserve">: </w:t>
      </w:r>
      <w:hyperlink r:id="rId29" w:history="1">
        <w:r w:rsidRPr="005C57B0">
          <w:rPr>
            <w:rStyle w:val="Hyperlink"/>
            <w:rFonts w:ascii="Georgia" w:hAnsi="Georgia"/>
          </w:rPr>
          <w:t>https://nppc.nebraska.gov/sites/nppc.nebraska.gov/files/doc/Standards_of_Competency_Brochure2012.pdf</w:t>
        </w:r>
      </w:hyperlink>
    </w:p>
  </w:footnote>
  <w:footnote w:id="25">
    <w:p w14:paraId="7491319C" w14:textId="33B50952" w:rsidR="006E560E" w:rsidRPr="005C57B0" w:rsidRDefault="006E560E">
      <w:pPr>
        <w:pStyle w:val="FootnoteText"/>
        <w:rPr>
          <w:rFonts w:ascii="Georgia" w:hAnsi="Georgia"/>
        </w:rPr>
      </w:pPr>
      <w:r w:rsidRPr="005C57B0">
        <w:rPr>
          <w:rStyle w:val="FootnoteReference"/>
          <w:rFonts w:ascii="Georgia" w:hAnsi="Georgia"/>
        </w:rPr>
        <w:footnoteRef/>
      </w:r>
      <w:r w:rsidRPr="005C57B0">
        <w:rPr>
          <w:rFonts w:ascii="Georgia" w:hAnsi="Georgia"/>
        </w:rPr>
        <w:t xml:space="preserve"> </w:t>
      </w:r>
      <w:r w:rsidR="00DE5B3B">
        <w:rPr>
          <w:rFonts w:ascii="Georgia" w:hAnsi="Georgia"/>
        </w:rPr>
        <w:t>“</w:t>
      </w:r>
      <w:r w:rsidR="00DE5B3B" w:rsidRPr="00DE5B3B">
        <w:rPr>
          <w:rFonts w:ascii="Georgia" w:hAnsi="Georgia"/>
        </w:rPr>
        <w:t>Nebraska Teacher and Principal Performance Standards</w:t>
      </w:r>
      <w:r w:rsidR="00DE5B3B">
        <w:rPr>
          <w:rFonts w:ascii="Georgia" w:hAnsi="Georgia"/>
        </w:rPr>
        <w:t>” from the</w:t>
      </w:r>
      <w:r w:rsidR="00DE5B3B" w:rsidRPr="00DE5B3B">
        <w:rPr>
          <w:rFonts w:ascii="Georgia" w:hAnsi="Georgia"/>
        </w:rPr>
        <w:t xml:space="preserve"> Nebraska Department of Education</w:t>
      </w:r>
      <w:r w:rsidR="005C57B0">
        <w:rPr>
          <w:rFonts w:ascii="Georgia" w:hAnsi="Georgia"/>
        </w:rPr>
        <w:t xml:space="preserve">: </w:t>
      </w:r>
      <w:hyperlink r:id="rId30" w:history="1">
        <w:r w:rsidRPr="005C57B0">
          <w:rPr>
            <w:rStyle w:val="Hyperlink"/>
            <w:rFonts w:ascii="Georgia" w:hAnsi="Georgia"/>
          </w:rPr>
          <w:t>https://cdn.education.ne.gov/wp-content/uploads/2020/06/TeacherPrincipalPerformanceStandards2020.pdf</w:t>
        </w:r>
      </w:hyperlink>
    </w:p>
    <w:p w14:paraId="3007D558" w14:textId="77777777" w:rsidR="006E560E" w:rsidRPr="0049187C" w:rsidRDefault="006E560E">
      <w:pPr>
        <w:pStyle w:val="FootnoteText"/>
        <w:rPr>
          <w:rFonts w:ascii="Georgia" w:hAnsi="Georgia"/>
        </w:rPr>
      </w:pPr>
    </w:p>
  </w:footnote>
  <w:footnote w:id="26">
    <w:p w14:paraId="4C92D257" w14:textId="3952203C" w:rsidR="00E80B63" w:rsidRPr="00345045" w:rsidRDefault="00E80B63" w:rsidP="00E80B63">
      <w:pPr>
        <w:pStyle w:val="FootnoteText"/>
        <w:rPr>
          <w:rFonts w:ascii="Georgia" w:hAnsi="Georgia"/>
        </w:rPr>
      </w:pPr>
      <w:r w:rsidRPr="00345045">
        <w:rPr>
          <w:rStyle w:val="FootnoteReference"/>
          <w:rFonts w:ascii="Georgia" w:hAnsi="Georgia"/>
        </w:rPr>
        <w:footnoteRef/>
      </w:r>
      <w:r w:rsidRPr="00345045">
        <w:rPr>
          <w:rFonts w:ascii="Georgia" w:hAnsi="Georgia"/>
        </w:rPr>
        <w:t xml:space="preserve"> </w:t>
      </w:r>
      <w:r w:rsidR="00E12948">
        <w:rPr>
          <w:rFonts w:ascii="Georgia" w:eastAsia="Georgia" w:hAnsi="Georgia" w:cs="Georgia"/>
        </w:rPr>
        <w:t>“Nebraska Core Competencies for Early Childhood Professionals”</w:t>
      </w:r>
      <w:r w:rsidR="00E00855">
        <w:rPr>
          <w:rFonts w:ascii="Georgia" w:hAnsi="Georgia"/>
        </w:rPr>
        <w:t xml:space="preserve">: </w:t>
      </w:r>
      <w:hyperlink r:id="rId31" w:history="1">
        <w:r w:rsidRPr="00345045">
          <w:rPr>
            <w:rStyle w:val="Hyperlink"/>
            <w:rFonts w:ascii="Georgia" w:hAnsi="Georgia"/>
          </w:rPr>
          <w:t>https://cdn.education.ne.gov/wp-content/uploads/2019/06/Core-Comps.pdf</w:t>
        </w:r>
      </w:hyperlink>
    </w:p>
    <w:p w14:paraId="379C232E" w14:textId="77777777" w:rsidR="00E80B63" w:rsidRPr="0049187C" w:rsidRDefault="00E80B63" w:rsidP="00E80B63">
      <w:pPr>
        <w:pStyle w:val="FootnoteText"/>
        <w:rPr>
          <w:rFonts w:ascii="Georgia" w:hAnsi="Georgia"/>
        </w:rPr>
      </w:pPr>
    </w:p>
  </w:footnote>
  <w:footnote w:id="27">
    <w:p w14:paraId="61996580" w14:textId="7F6F6928" w:rsidR="00E80B63" w:rsidRPr="00E00855" w:rsidRDefault="00E80B63" w:rsidP="00E80B63">
      <w:pPr>
        <w:pStyle w:val="FootnoteText"/>
        <w:rPr>
          <w:rFonts w:ascii="Georgia" w:hAnsi="Georgia"/>
        </w:rPr>
      </w:pPr>
      <w:r w:rsidRPr="00E00855">
        <w:rPr>
          <w:rStyle w:val="FootnoteReference"/>
          <w:rFonts w:ascii="Georgia" w:hAnsi="Georgia"/>
        </w:rPr>
        <w:footnoteRef/>
      </w:r>
      <w:r w:rsidR="00E00855">
        <w:rPr>
          <w:rFonts w:ascii="Georgia" w:hAnsi="Georgia"/>
        </w:rPr>
        <w:t xml:space="preserve"> </w:t>
      </w:r>
      <w:r w:rsidR="00E12948">
        <w:rPr>
          <w:rFonts w:ascii="Georgia" w:hAnsi="Georgia"/>
        </w:rPr>
        <w:t>For the full “</w:t>
      </w:r>
      <w:r w:rsidR="00E12948" w:rsidRPr="004C2539">
        <w:rPr>
          <w:rFonts w:ascii="Georgia" w:eastAsia="Georgia" w:hAnsi="Georgia" w:cs="Georgia"/>
        </w:rPr>
        <w:t>Louisiana Teacher Performance Evaluation Rubric</w:t>
      </w:r>
      <w:r w:rsidR="00E12948">
        <w:rPr>
          <w:rFonts w:ascii="Georgia" w:eastAsia="Georgia" w:hAnsi="Georgia" w:cs="Georgia"/>
        </w:rPr>
        <w:t>,” see here</w:t>
      </w:r>
      <w:r w:rsidR="00E00855">
        <w:rPr>
          <w:rFonts w:ascii="Georgia" w:hAnsi="Georgia"/>
        </w:rPr>
        <w:t>:</w:t>
      </w:r>
      <w:r w:rsidRPr="00E00855">
        <w:rPr>
          <w:rFonts w:ascii="Georgia" w:hAnsi="Georgia"/>
        </w:rPr>
        <w:t xml:space="preserve"> </w:t>
      </w:r>
      <w:hyperlink r:id="rId32" w:history="1">
        <w:r w:rsidRPr="00E00855">
          <w:rPr>
            <w:rStyle w:val="Hyperlink"/>
            <w:rFonts w:ascii="Georgia" w:hAnsi="Georgia"/>
          </w:rPr>
          <w:t>https://www.louisianabelieves.com/docs/default-source/key-compass-resources/2014-2015-compass-teacher-rubric.pdf?sfvrsn=14</w:t>
        </w:r>
      </w:hyperlink>
    </w:p>
    <w:p w14:paraId="54D7B884" w14:textId="77777777" w:rsidR="00E80B63" w:rsidRDefault="00E80B63" w:rsidP="00E80B63">
      <w:pPr>
        <w:pStyle w:val="FootnoteText"/>
      </w:pPr>
    </w:p>
  </w:footnote>
  <w:footnote w:id="28">
    <w:p w14:paraId="5CC55215" w14:textId="02752181" w:rsidR="00283C94" w:rsidRPr="00345045" w:rsidRDefault="00283C94" w:rsidP="00283C94">
      <w:pPr>
        <w:pStyle w:val="FootnoteText"/>
        <w:rPr>
          <w:rFonts w:ascii="Georgia" w:hAnsi="Georgia"/>
        </w:rPr>
      </w:pPr>
      <w:r w:rsidRPr="00345045">
        <w:rPr>
          <w:rStyle w:val="FootnoteReference"/>
          <w:rFonts w:ascii="Georgia" w:hAnsi="Georgia"/>
        </w:rPr>
        <w:footnoteRef/>
      </w:r>
      <w:r w:rsidRPr="00345045">
        <w:rPr>
          <w:rFonts w:ascii="Georgia" w:hAnsi="Georgia"/>
        </w:rPr>
        <w:t xml:space="preserve"> </w:t>
      </w:r>
      <w:r>
        <w:rPr>
          <w:rFonts w:ascii="Georgia" w:hAnsi="Georgia"/>
        </w:rPr>
        <w:t>See the “</w:t>
      </w:r>
      <w:r w:rsidRPr="00283C94">
        <w:rPr>
          <w:rFonts w:ascii="Georgia" w:hAnsi="Georgia"/>
        </w:rPr>
        <w:t>2018 Delaware Educator Preparation Program Reports</w:t>
      </w:r>
      <w:r>
        <w:rPr>
          <w:rFonts w:ascii="Georgia" w:hAnsi="Georgia"/>
        </w:rPr>
        <w:t xml:space="preserve">” here: </w:t>
      </w:r>
      <w:hyperlink r:id="rId33" w:history="1">
        <w:r w:rsidRPr="00345045">
          <w:rPr>
            <w:rStyle w:val="Hyperlink"/>
            <w:rFonts w:ascii="Georgia" w:hAnsi="Georgia"/>
          </w:rPr>
          <w:t>https://www.doe.k12.de.us/domain/398</w:t>
        </w:r>
      </w:hyperlink>
    </w:p>
    <w:p w14:paraId="18EAD6BC" w14:textId="77777777" w:rsidR="00283C94" w:rsidRDefault="00283C94" w:rsidP="00283C9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7F0E"/>
    <w:multiLevelType w:val="multilevel"/>
    <w:tmpl w:val="350EB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EA58EC"/>
    <w:multiLevelType w:val="multilevel"/>
    <w:tmpl w:val="43741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BF2E23"/>
    <w:multiLevelType w:val="multilevel"/>
    <w:tmpl w:val="5D0CF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F06A56"/>
    <w:multiLevelType w:val="hybridMultilevel"/>
    <w:tmpl w:val="7C0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7742A"/>
    <w:multiLevelType w:val="multilevel"/>
    <w:tmpl w:val="65B41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1C4606"/>
    <w:multiLevelType w:val="multilevel"/>
    <w:tmpl w:val="2E94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C67D48"/>
    <w:multiLevelType w:val="multilevel"/>
    <w:tmpl w:val="EA7E9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8571C1"/>
    <w:multiLevelType w:val="multilevel"/>
    <w:tmpl w:val="90B84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1E0218"/>
    <w:multiLevelType w:val="multilevel"/>
    <w:tmpl w:val="EB76C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2B5523"/>
    <w:multiLevelType w:val="multilevel"/>
    <w:tmpl w:val="C16CF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EC1761"/>
    <w:multiLevelType w:val="multilevel"/>
    <w:tmpl w:val="5854E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0376A7"/>
    <w:multiLevelType w:val="multilevel"/>
    <w:tmpl w:val="81947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5725D4"/>
    <w:multiLevelType w:val="multilevel"/>
    <w:tmpl w:val="CDD02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A71B8F"/>
    <w:multiLevelType w:val="multilevel"/>
    <w:tmpl w:val="E884D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583F30"/>
    <w:multiLevelType w:val="multilevel"/>
    <w:tmpl w:val="A3FA2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3"/>
  </w:num>
  <w:num w:numId="3">
    <w:abstractNumId w:val="2"/>
  </w:num>
  <w:num w:numId="4">
    <w:abstractNumId w:val="1"/>
  </w:num>
  <w:num w:numId="5">
    <w:abstractNumId w:val="0"/>
  </w:num>
  <w:num w:numId="6">
    <w:abstractNumId w:val="10"/>
  </w:num>
  <w:num w:numId="7">
    <w:abstractNumId w:val="14"/>
  </w:num>
  <w:num w:numId="8">
    <w:abstractNumId w:val="7"/>
  </w:num>
  <w:num w:numId="9">
    <w:abstractNumId w:val="6"/>
  </w:num>
  <w:num w:numId="10">
    <w:abstractNumId w:val="9"/>
  </w:num>
  <w:num w:numId="11">
    <w:abstractNumId w:val="4"/>
  </w:num>
  <w:num w:numId="12">
    <w:abstractNumId w:val="12"/>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27D"/>
    <w:rsid w:val="00011E94"/>
    <w:rsid w:val="00034EB2"/>
    <w:rsid w:val="000926ED"/>
    <w:rsid w:val="0009721A"/>
    <w:rsid w:val="00097563"/>
    <w:rsid w:val="000D3329"/>
    <w:rsid w:val="00100661"/>
    <w:rsid w:val="00110F10"/>
    <w:rsid w:val="0016522C"/>
    <w:rsid w:val="00172F33"/>
    <w:rsid w:val="00202414"/>
    <w:rsid w:val="0020610E"/>
    <w:rsid w:val="002067CC"/>
    <w:rsid w:val="00222491"/>
    <w:rsid w:val="00283C94"/>
    <w:rsid w:val="002D68C5"/>
    <w:rsid w:val="002E3CBC"/>
    <w:rsid w:val="002F1746"/>
    <w:rsid w:val="002F2825"/>
    <w:rsid w:val="00326C09"/>
    <w:rsid w:val="00331E77"/>
    <w:rsid w:val="00345045"/>
    <w:rsid w:val="003538CB"/>
    <w:rsid w:val="003C4473"/>
    <w:rsid w:val="003C4AB6"/>
    <w:rsid w:val="003E7B08"/>
    <w:rsid w:val="00422F78"/>
    <w:rsid w:val="00441F3E"/>
    <w:rsid w:val="0047250E"/>
    <w:rsid w:val="00474A7B"/>
    <w:rsid w:val="00490D3C"/>
    <w:rsid w:val="0049187C"/>
    <w:rsid w:val="004C2539"/>
    <w:rsid w:val="004D6247"/>
    <w:rsid w:val="00537F66"/>
    <w:rsid w:val="00575F3A"/>
    <w:rsid w:val="005766F7"/>
    <w:rsid w:val="005C57B0"/>
    <w:rsid w:val="006214AC"/>
    <w:rsid w:val="00636B77"/>
    <w:rsid w:val="006721EA"/>
    <w:rsid w:val="00672673"/>
    <w:rsid w:val="006915D9"/>
    <w:rsid w:val="006C0C22"/>
    <w:rsid w:val="006D39DD"/>
    <w:rsid w:val="006D4765"/>
    <w:rsid w:val="006E560E"/>
    <w:rsid w:val="00781C20"/>
    <w:rsid w:val="007D3EC3"/>
    <w:rsid w:val="007D7D1D"/>
    <w:rsid w:val="008823E6"/>
    <w:rsid w:val="00885335"/>
    <w:rsid w:val="008A6045"/>
    <w:rsid w:val="008D2F74"/>
    <w:rsid w:val="008E7F1F"/>
    <w:rsid w:val="00902733"/>
    <w:rsid w:val="009071F0"/>
    <w:rsid w:val="00922EFD"/>
    <w:rsid w:val="0092378F"/>
    <w:rsid w:val="009355AE"/>
    <w:rsid w:val="009A7710"/>
    <w:rsid w:val="009C500F"/>
    <w:rsid w:val="00A159D2"/>
    <w:rsid w:val="00A449EA"/>
    <w:rsid w:val="00A8724F"/>
    <w:rsid w:val="00AA79E7"/>
    <w:rsid w:val="00AB1A51"/>
    <w:rsid w:val="00B24CE8"/>
    <w:rsid w:val="00B5300B"/>
    <w:rsid w:val="00B65CB4"/>
    <w:rsid w:val="00B7504B"/>
    <w:rsid w:val="00B8569D"/>
    <w:rsid w:val="00BD1067"/>
    <w:rsid w:val="00C02543"/>
    <w:rsid w:val="00C03453"/>
    <w:rsid w:val="00C118A8"/>
    <w:rsid w:val="00C1327D"/>
    <w:rsid w:val="00C93C03"/>
    <w:rsid w:val="00C95777"/>
    <w:rsid w:val="00CA5395"/>
    <w:rsid w:val="00CC1AA3"/>
    <w:rsid w:val="00CC27A3"/>
    <w:rsid w:val="00CE3AF7"/>
    <w:rsid w:val="00CE7076"/>
    <w:rsid w:val="00CF22B4"/>
    <w:rsid w:val="00D91040"/>
    <w:rsid w:val="00DC3DCB"/>
    <w:rsid w:val="00DD0CE3"/>
    <w:rsid w:val="00DD632B"/>
    <w:rsid w:val="00DE21D2"/>
    <w:rsid w:val="00DE5B3B"/>
    <w:rsid w:val="00DE6ABC"/>
    <w:rsid w:val="00DF63E2"/>
    <w:rsid w:val="00E00855"/>
    <w:rsid w:val="00E12948"/>
    <w:rsid w:val="00E405BB"/>
    <w:rsid w:val="00E532CB"/>
    <w:rsid w:val="00E80B63"/>
    <w:rsid w:val="00E86C3D"/>
    <w:rsid w:val="00E941EB"/>
    <w:rsid w:val="00E95A9E"/>
    <w:rsid w:val="00EE2D6D"/>
    <w:rsid w:val="00EE561E"/>
    <w:rsid w:val="00F43DC7"/>
    <w:rsid w:val="00F4553C"/>
    <w:rsid w:val="00F6052D"/>
    <w:rsid w:val="00FB384C"/>
    <w:rsid w:val="00FD448B"/>
    <w:rsid w:val="00FE2584"/>
    <w:rsid w:val="00FF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4961"/>
  <w15:docId w15:val="{7430D4B6-E6AE-1F4B-9F2A-91300DE7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1F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405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05BB"/>
    <w:rPr>
      <w:rFonts w:ascii="Times New Roman" w:hAnsi="Times New Roman" w:cs="Times New Roman"/>
      <w:sz w:val="18"/>
      <w:szCs w:val="18"/>
    </w:rPr>
  </w:style>
  <w:style w:type="paragraph" w:styleId="Header">
    <w:name w:val="header"/>
    <w:basedOn w:val="Normal"/>
    <w:link w:val="HeaderChar"/>
    <w:uiPriority w:val="99"/>
    <w:unhideWhenUsed/>
    <w:rsid w:val="00E405BB"/>
    <w:pPr>
      <w:tabs>
        <w:tab w:val="center" w:pos="4680"/>
        <w:tab w:val="right" w:pos="9360"/>
      </w:tabs>
    </w:pPr>
  </w:style>
  <w:style w:type="character" w:customStyle="1" w:styleId="HeaderChar">
    <w:name w:val="Header Char"/>
    <w:basedOn w:val="DefaultParagraphFont"/>
    <w:link w:val="Header"/>
    <w:uiPriority w:val="99"/>
    <w:rsid w:val="00E405BB"/>
  </w:style>
  <w:style w:type="paragraph" w:styleId="Footer">
    <w:name w:val="footer"/>
    <w:basedOn w:val="Normal"/>
    <w:link w:val="FooterChar"/>
    <w:uiPriority w:val="99"/>
    <w:unhideWhenUsed/>
    <w:rsid w:val="00E405BB"/>
    <w:pPr>
      <w:tabs>
        <w:tab w:val="center" w:pos="4680"/>
        <w:tab w:val="right" w:pos="9360"/>
      </w:tabs>
    </w:pPr>
  </w:style>
  <w:style w:type="character" w:customStyle="1" w:styleId="FooterChar">
    <w:name w:val="Footer Char"/>
    <w:basedOn w:val="DefaultParagraphFont"/>
    <w:link w:val="Footer"/>
    <w:uiPriority w:val="99"/>
    <w:rsid w:val="00E405BB"/>
  </w:style>
  <w:style w:type="character" w:styleId="CommentReference">
    <w:name w:val="annotation reference"/>
    <w:basedOn w:val="DefaultParagraphFont"/>
    <w:uiPriority w:val="99"/>
    <w:semiHidden/>
    <w:unhideWhenUsed/>
    <w:rsid w:val="00DE6ABC"/>
    <w:rPr>
      <w:sz w:val="16"/>
      <w:szCs w:val="16"/>
    </w:rPr>
  </w:style>
  <w:style w:type="paragraph" w:styleId="CommentText">
    <w:name w:val="annotation text"/>
    <w:basedOn w:val="Normal"/>
    <w:link w:val="CommentTextChar"/>
    <w:uiPriority w:val="99"/>
    <w:semiHidden/>
    <w:unhideWhenUsed/>
    <w:rsid w:val="00DE6ABC"/>
    <w:rPr>
      <w:sz w:val="20"/>
      <w:szCs w:val="20"/>
    </w:rPr>
  </w:style>
  <w:style w:type="character" w:customStyle="1" w:styleId="CommentTextChar">
    <w:name w:val="Comment Text Char"/>
    <w:basedOn w:val="DefaultParagraphFont"/>
    <w:link w:val="CommentText"/>
    <w:uiPriority w:val="99"/>
    <w:semiHidden/>
    <w:rsid w:val="00DE6ABC"/>
    <w:rPr>
      <w:sz w:val="20"/>
      <w:szCs w:val="20"/>
    </w:rPr>
  </w:style>
  <w:style w:type="paragraph" w:styleId="CommentSubject">
    <w:name w:val="annotation subject"/>
    <w:basedOn w:val="CommentText"/>
    <w:next w:val="CommentText"/>
    <w:link w:val="CommentSubjectChar"/>
    <w:uiPriority w:val="99"/>
    <w:semiHidden/>
    <w:unhideWhenUsed/>
    <w:rsid w:val="00DE6ABC"/>
    <w:rPr>
      <w:b/>
      <w:bCs/>
    </w:rPr>
  </w:style>
  <w:style w:type="character" w:customStyle="1" w:styleId="CommentSubjectChar">
    <w:name w:val="Comment Subject Char"/>
    <w:basedOn w:val="CommentTextChar"/>
    <w:link w:val="CommentSubject"/>
    <w:uiPriority w:val="99"/>
    <w:semiHidden/>
    <w:rsid w:val="00DE6ABC"/>
    <w:rPr>
      <w:b/>
      <w:bCs/>
      <w:sz w:val="20"/>
      <w:szCs w:val="20"/>
    </w:rPr>
  </w:style>
  <w:style w:type="character" w:styleId="Hyperlink">
    <w:name w:val="Hyperlink"/>
    <w:basedOn w:val="DefaultParagraphFont"/>
    <w:uiPriority w:val="99"/>
    <w:unhideWhenUsed/>
    <w:rsid w:val="0047250E"/>
    <w:rPr>
      <w:color w:val="0000FF" w:themeColor="hyperlink"/>
      <w:u w:val="single"/>
    </w:rPr>
  </w:style>
  <w:style w:type="character" w:customStyle="1" w:styleId="UnresolvedMention1">
    <w:name w:val="Unresolved Mention1"/>
    <w:basedOn w:val="DefaultParagraphFont"/>
    <w:uiPriority w:val="99"/>
    <w:semiHidden/>
    <w:unhideWhenUsed/>
    <w:rsid w:val="0047250E"/>
    <w:rPr>
      <w:color w:val="605E5C"/>
      <w:shd w:val="clear" w:color="auto" w:fill="E1DFDD"/>
    </w:rPr>
  </w:style>
  <w:style w:type="paragraph" w:styleId="FootnoteText">
    <w:name w:val="footnote text"/>
    <w:basedOn w:val="Normal"/>
    <w:link w:val="FootnoteTextChar"/>
    <w:uiPriority w:val="99"/>
    <w:semiHidden/>
    <w:unhideWhenUsed/>
    <w:rsid w:val="008A6045"/>
    <w:rPr>
      <w:sz w:val="20"/>
      <w:szCs w:val="20"/>
    </w:rPr>
  </w:style>
  <w:style w:type="character" w:customStyle="1" w:styleId="FootnoteTextChar">
    <w:name w:val="Footnote Text Char"/>
    <w:basedOn w:val="DefaultParagraphFont"/>
    <w:link w:val="FootnoteText"/>
    <w:uiPriority w:val="99"/>
    <w:semiHidden/>
    <w:rsid w:val="008A6045"/>
    <w:rPr>
      <w:sz w:val="20"/>
      <w:szCs w:val="20"/>
    </w:rPr>
  </w:style>
  <w:style w:type="character" w:styleId="FootnoteReference">
    <w:name w:val="footnote reference"/>
    <w:basedOn w:val="DefaultParagraphFont"/>
    <w:uiPriority w:val="99"/>
    <w:semiHidden/>
    <w:unhideWhenUsed/>
    <w:rsid w:val="008A6045"/>
    <w:rPr>
      <w:vertAlign w:val="superscript"/>
    </w:rPr>
  </w:style>
  <w:style w:type="character" w:styleId="FollowedHyperlink">
    <w:name w:val="FollowedHyperlink"/>
    <w:basedOn w:val="DefaultParagraphFont"/>
    <w:uiPriority w:val="99"/>
    <w:semiHidden/>
    <w:unhideWhenUsed/>
    <w:rsid w:val="008A6045"/>
    <w:rPr>
      <w:color w:val="800080" w:themeColor="followedHyperlink"/>
      <w:u w:val="single"/>
    </w:rPr>
  </w:style>
  <w:style w:type="character" w:styleId="PageNumber">
    <w:name w:val="page number"/>
    <w:basedOn w:val="DefaultParagraphFont"/>
    <w:uiPriority w:val="99"/>
    <w:semiHidden/>
    <w:unhideWhenUsed/>
    <w:rsid w:val="008823E6"/>
  </w:style>
  <w:style w:type="paragraph" w:styleId="NormalWeb">
    <w:name w:val="Normal (Web)"/>
    <w:basedOn w:val="Normal"/>
    <w:uiPriority w:val="99"/>
    <w:semiHidden/>
    <w:unhideWhenUsed/>
    <w:rsid w:val="00DD0CE3"/>
    <w:rPr>
      <w:rFonts w:ascii="Times New Roman" w:hAnsi="Times New Roman" w:cs="Times New Roman"/>
    </w:rPr>
  </w:style>
  <w:style w:type="character" w:customStyle="1" w:styleId="UnresolvedMention2">
    <w:name w:val="Unresolved Mention2"/>
    <w:basedOn w:val="DefaultParagraphFont"/>
    <w:uiPriority w:val="99"/>
    <w:semiHidden/>
    <w:unhideWhenUsed/>
    <w:rsid w:val="00B24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2366">
      <w:bodyDiv w:val="1"/>
      <w:marLeft w:val="0"/>
      <w:marRight w:val="0"/>
      <w:marTop w:val="0"/>
      <w:marBottom w:val="0"/>
      <w:divBdr>
        <w:top w:val="none" w:sz="0" w:space="0" w:color="auto"/>
        <w:left w:val="none" w:sz="0" w:space="0" w:color="auto"/>
        <w:bottom w:val="none" w:sz="0" w:space="0" w:color="auto"/>
        <w:right w:val="none" w:sz="0" w:space="0" w:color="auto"/>
      </w:divBdr>
      <w:divsChild>
        <w:div w:id="521550939">
          <w:marLeft w:val="0"/>
          <w:marRight w:val="0"/>
          <w:marTop w:val="0"/>
          <w:marBottom w:val="0"/>
          <w:divBdr>
            <w:top w:val="none" w:sz="0" w:space="0" w:color="auto"/>
            <w:left w:val="none" w:sz="0" w:space="0" w:color="auto"/>
            <w:bottom w:val="none" w:sz="0" w:space="0" w:color="auto"/>
            <w:right w:val="none" w:sz="0" w:space="0" w:color="auto"/>
          </w:divBdr>
          <w:divsChild>
            <w:div w:id="617681745">
              <w:marLeft w:val="0"/>
              <w:marRight w:val="0"/>
              <w:marTop w:val="0"/>
              <w:marBottom w:val="0"/>
              <w:divBdr>
                <w:top w:val="none" w:sz="0" w:space="0" w:color="auto"/>
                <w:left w:val="none" w:sz="0" w:space="0" w:color="auto"/>
                <w:bottom w:val="none" w:sz="0" w:space="0" w:color="auto"/>
                <w:right w:val="none" w:sz="0" w:space="0" w:color="auto"/>
              </w:divBdr>
              <w:divsChild>
                <w:div w:id="1948654471">
                  <w:marLeft w:val="0"/>
                  <w:marRight w:val="0"/>
                  <w:marTop w:val="0"/>
                  <w:marBottom w:val="0"/>
                  <w:divBdr>
                    <w:top w:val="none" w:sz="0" w:space="0" w:color="auto"/>
                    <w:left w:val="none" w:sz="0" w:space="0" w:color="auto"/>
                    <w:bottom w:val="none" w:sz="0" w:space="0" w:color="auto"/>
                    <w:right w:val="none" w:sz="0" w:space="0" w:color="auto"/>
                  </w:divBdr>
                  <w:divsChild>
                    <w:div w:id="300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040085">
      <w:bodyDiv w:val="1"/>
      <w:marLeft w:val="0"/>
      <w:marRight w:val="0"/>
      <w:marTop w:val="0"/>
      <w:marBottom w:val="0"/>
      <w:divBdr>
        <w:top w:val="none" w:sz="0" w:space="0" w:color="auto"/>
        <w:left w:val="none" w:sz="0" w:space="0" w:color="auto"/>
        <w:bottom w:val="none" w:sz="0" w:space="0" w:color="auto"/>
        <w:right w:val="none" w:sz="0" w:space="0" w:color="auto"/>
      </w:divBdr>
      <w:divsChild>
        <w:div w:id="411775617">
          <w:marLeft w:val="0"/>
          <w:marRight w:val="0"/>
          <w:marTop w:val="0"/>
          <w:marBottom w:val="0"/>
          <w:divBdr>
            <w:top w:val="none" w:sz="0" w:space="0" w:color="auto"/>
            <w:left w:val="none" w:sz="0" w:space="0" w:color="auto"/>
            <w:bottom w:val="none" w:sz="0" w:space="0" w:color="auto"/>
            <w:right w:val="none" w:sz="0" w:space="0" w:color="auto"/>
          </w:divBdr>
          <w:divsChild>
            <w:div w:id="1790784513">
              <w:marLeft w:val="0"/>
              <w:marRight w:val="0"/>
              <w:marTop w:val="0"/>
              <w:marBottom w:val="0"/>
              <w:divBdr>
                <w:top w:val="none" w:sz="0" w:space="0" w:color="auto"/>
                <w:left w:val="none" w:sz="0" w:space="0" w:color="auto"/>
                <w:bottom w:val="none" w:sz="0" w:space="0" w:color="auto"/>
                <w:right w:val="none" w:sz="0" w:space="0" w:color="auto"/>
              </w:divBdr>
              <w:divsChild>
                <w:div w:id="1920139674">
                  <w:marLeft w:val="0"/>
                  <w:marRight w:val="0"/>
                  <w:marTop w:val="0"/>
                  <w:marBottom w:val="0"/>
                  <w:divBdr>
                    <w:top w:val="none" w:sz="0" w:space="0" w:color="auto"/>
                    <w:left w:val="none" w:sz="0" w:space="0" w:color="auto"/>
                    <w:bottom w:val="none" w:sz="0" w:space="0" w:color="auto"/>
                    <w:right w:val="none" w:sz="0" w:space="0" w:color="auto"/>
                  </w:divBdr>
                  <w:divsChild>
                    <w:div w:id="3502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18644">
      <w:bodyDiv w:val="1"/>
      <w:marLeft w:val="0"/>
      <w:marRight w:val="0"/>
      <w:marTop w:val="0"/>
      <w:marBottom w:val="0"/>
      <w:divBdr>
        <w:top w:val="none" w:sz="0" w:space="0" w:color="auto"/>
        <w:left w:val="none" w:sz="0" w:space="0" w:color="auto"/>
        <w:bottom w:val="none" w:sz="0" w:space="0" w:color="auto"/>
        <w:right w:val="none" w:sz="0" w:space="0" w:color="auto"/>
      </w:divBdr>
      <w:divsChild>
        <w:div w:id="1789473963">
          <w:marLeft w:val="0"/>
          <w:marRight w:val="0"/>
          <w:marTop w:val="0"/>
          <w:marBottom w:val="0"/>
          <w:divBdr>
            <w:top w:val="none" w:sz="0" w:space="0" w:color="auto"/>
            <w:left w:val="none" w:sz="0" w:space="0" w:color="auto"/>
            <w:bottom w:val="none" w:sz="0" w:space="0" w:color="auto"/>
            <w:right w:val="none" w:sz="0" w:space="0" w:color="auto"/>
          </w:divBdr>
          <w:divsChild>
            <w:div w:id="1443110119">
              <w:marLeft w:val="0"/>
              <w:marRight w:val="0"/>
              <w:marTop w:val="0"/>
              <w:marBottom w:val="0"/>
              <w:divBdr>
                <w:top w:val="none" w:sz="0" w:space="0" w:color="auto"/>
                <w:left w:val="none" w:sz="0" w:space="0" w:color="auto"/>
                <w:bottom w:val="none" w:sz="0" w:space="0" w:color="auto"/>
                <w:right w:val="none" w:sz="0" w:space="0" w:color="auto"/>
              </w:divBdr>
              <w:divsChild>
                <w:div w:id="20493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057">
      <w:bodyDiv w:val="1"/>
      <w:marLeft w:val="0"/>
      <w:marRight w:val="0"/>
      <w:marTop w:val="0"/>
      <w:marBottom w:val="0"/>
      <w:divBdr>
        <w:top w:val="none" w:sz="0" w:space="0" w:color="auto"/>
        <w:left w:val="none" w:sz="0" w:space="0" w:color="auto"/>
        <w:bottom w:val="none" w:sz="0" w:space="0" w:color="auto"/>
        <w:right w:val="none" w:sz="0" w:space="0" w:color="auto"/>
      </w:divBdr>
      <w:divsChild>
        <w:div w:id="984625974">
          <w:marLeft w:val="0"/>
          <w:marRight w:val="0"/>
          <w:marTop w:val="0"/>
          <w:marBottom w:val="0"/>
          <w:divBdr>
            <w:top w:val="none" w:sz="0" w:space="0" w:color="auto"/>
            <w:left w:val="none" w:sz="0" w:space="0" w:color="auto"/>
            <w:bottom w:val="none" w:sz="0" w:space="0" w:color="auto"/>
            <w:right w:val="none" w:sz="0" w:space="0" w:color="auto"/>
          </w:divBdr>
          <w:divsChild>
            <w:div w:id="103958918">
              <w:marLeft w:val="0"/>
              <w:marRight w:val="0"/>
              <w:marTop w:val="0"/>
              <w:marBottom w:val="0"/>
              <w:divBdr>
                <w:top w:val="none" w:sz="0" w:space="0" w:color="auto"/>
                <w:left w:val="none" w:sz="0" w:space="0" w:color="auto"/>
                <w:bottom w:val="none" w:sz="0" w:space="0" w:color="auto"/>
                <w:right w:val="none" w:sz="0" w:space="0" w:color="auto"/>
              </w:divBdr>
              <w:divsChild>
                <w:div w:id="20001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5119">
      <w:bodyDiv w:val="1"/>
      <w:marLeft w:val="0"/>
      <w:marRight w:val="0"/>
      <w:marTop w:val="0"/>
      <w:marBottom w:val="0"/>
      <w:divBdr>
        <w:top w:val="none" w:sz="0" w:space="0" w:color="auto"/>
        <w:left w:val="none" w:sz="0" w:space="0" w:color="auto"/>
        <w:bottom w:val="none" w:sz="0" w:space="0" w:color="auto"/>
        <w:right w:val="none" w:sz="0" w:space="0" w:color="auto"/>
      </w:divBdr>
      <w:divsChild>
        <w:div w:id="2120904673">
          <w:marLeft w:val="0"/>
          <w:marRight w:val="0"/>
          <w:marTop w:val="0"/>
          <w:marBottom w:val="0"/>
          <w:divBdr>
            <w:top w:val="none" w:sz="0" w:space="0" w:color="auto"/>
            <w:left w:val="none" w:sz="0" w:space="0" w:color="auto"/>
            <w:bottom w:val="none" w:sz="0" w:space="0" w:color="auto"/>
            <w:right w:val="none" w:sz="0" w:space="0" w:color="auto"/>
          </w:divBdr>
        </w:div>
        <w:div w:id="922953887">
          <w:marLeft w:val="0"/>
          <w:marRight w:val="0"/>
          <w:marTop w:val="0"/>
          <w:marBottom w:val="0"/>
          <w:divBdr>
            <w:top w:val="none" w:sz="0" w:space="0" w:color="auto"/>
            <w:left w:val="none" w:sz="0" w:space="0" w:color="auto"/>
            <w:bottom w:val="none" w:sz="0" w:space="0" w:color="auto"/>
            <w:right w:val="none" w:sz="0" w:space="0" w:color="auto"/>
          </w:divBdr>
        </w:div>
        <w:div w:id="28266846">
          <w:marLeft w:val="0"/>
          <w:marRight w:val="0"/>
          <w:marTop w:val="0"/>
          <w:marBottom w:val="0"/>
          <w:divBdr>
            <w:top w:val="none" w:sz="0" w:space="0" w:color="auto"/>
            <w:left w:val="none" w:sz="0" w:space="0" w:color="auto"/>
            <w:bottom w:val="none" w:sz="0" w:space="0" w:color="auto"/>
            <w:right w:val="none" w:sz="0" w:space="0" w:color="auto"/>
          </w:divBdr>
        </w:div>
        <w:div w:id="419642469">
          <w:marLeft w:val="0"/>
          <w:marRight w:val="0"/>
          <w:marTop w:val="0"/>
          <w:marBottom w:val="0"/>
          <w:divBdr>
            <w:top w:val="none" w:sz="0" w:space="0" w:color="auto"/>
            <w:left w:val="none" w:sz="0" w:space="0" w:color="auto"/>
            <w:bottom w:val="none" w:sz="0" w:space="0" w:color="auto"/>
            <w:right w:val="none" w:sz="0" w:space="0" w:color="auto"/>
          </w:divBdr>
        </w:div>
        <w:div w:id="980697461">
          <w:marLeft w:val="0"/>
          <w:marRight w:val="0"/>
          <w:marTop w:val="0"/>
          <w:marBottom w:val="0"/>
          <w:divBdr>
            <w:top w:val="none" w:sz="0" w:space="0" w:color="auto"/>
            <w:left w:val="none" w:sz="0" w:space="0" w:color="auto"/>
            <w:bottom w:val="none" w:sz="0" w:space="0" w:color="auto"/>
            <w:right w:val="none" w:sz="0" w:space="0" w:color="auto"/>
          </w:divBdr>
          <w:divsChild>
            <w:div w:id="20298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4150">
      <w:bodyDiv w:val="1"/>
      <w:marLeft w:val="0"/>
      <w:marRight w:val="0"/>
      <w:marTop w:val="0"/>
      <w:marBottom w:val="0"/>
      <w:divBdr>
        <w:top w:val="none" w:sz="0" w:space="0" w:color="auto"/>
        <w:left w:val="none" w:sz="0" w:space="0" w:color="auto"/>
        <w:bottom w:val="none" w:sz="0" w:space="0" w:color="auto"/>
        <w:right w:val="none" w:sz="0" w:space="0" w:color="auto"/>
      </w:divBdr>
      <w:divsChild>
        <w:div w:id="855080286">
          <w:marLeft w:val="0"/>
          <w:marRight w:val="0"/>
          <w:marTop w:val="0"/>
          <w:marBottom w:val="0"/>
          <w:divBdr>
            <w:top w:val="none" w:sz="0" w:space="0" w:color="auto"/>
            <w:left w:val="none" w:sz="0" w:space="0" w:color="auto"/>
            <w:bottom w:val="none" w:sz="0" w:space="0" w:color="auto"/>
            <w:right w:val="none" w:sz="0" w:space="0" w:color="auto"/>
          </w:divBdr>
          <w:divsChild>
            <w:div w:id="561871712">
              <w:marLeft w:val="0"/>
              <w:marRight w:val="0"/>
              <w:marTop w:val="0"/>
              <w:marBottom w:val="0"/>
              <w:divBdr>
                <w:top w:val="none" w:sz="0" w:space="0" w:color="auto"/>
                <w:left w:val="none" w:sz="0" w:space="0" w:color="auto"/>
                <w:bottom w:val="none" w:sz="0" w:space="0" w:color="auto"/>
                <w:right w:val="none" w:sz="0" w:space="0" w:color="auto"/>
              </w:divBdr>
              <w:divsChild>
                <w:div w:id="5964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02170">
      <w:bodyDiv w:val="1"/>
      <w:marLeft w:val="0"/>
      <w:marRight w:val="0"/>
      <w:marTop w:val="0"/>
      <w:marBottom w:val="0"/>
      <w:divBdr>
        <w:top w:val="none" w:sz="0" w:space="0" w:color="auto"/>
        <w:left w:val="none" w:sz="0" w:space="0" w:color="auto"/>
        <w:bottom w:val="none" w:sz="0" w:space="0" w:color="auto"/>
        <w:right w:val="none" w:sz="0" w:space="0" w:color="auto"/>
      </w:divBdr>
      <w:divsChild>
        <w:div w:id="1506551240">
          <w:marLeft w:val="0"/>
          <w:marRight w:val="0"/>
          <w:marTop w:val="0"/>
          <w:marBottom w:val="0"/>
          <w:divBdr>
            <w:top w:val="none" w:sz="0" w:space="0" w:color="auto"/>
            <w:left w:val="none" w:sz="0" w:space="0" w:color="auto"/>
            <w:bottom w:val="none" w:sz="0" w:space="0" w:color="auto"/>
            <w:right w:val="none" w:sz="0" w:space="0" w:color="auto"/>
          </w:divBdr>
        </w:div>
        <w:div w:id="43915694">
          <w:marLeft w:val="0"/>
          <w:marRight w:val="0"/>
          <w:marTop w:val="0"/>
          <w:marBottom w:val="0"/>
          <w:divBdr>
            <w:top w:val="none" w:sz="0" w:space="0" w:color="auto"/>
            <w:left w:val="none" w:sz="0" w:space="0" w:color="auto"/>
            <w:bottom w:val="none" w:sz="0" w:space="0" w:color="auto"/>
            <w:right w:val="none" w:sz="0" w:space="0" w:color="auto"/>
          </w:divBdr>
        </w:div>
      </w:divsChild>
    </w:div>
    <w:div w:id="1055736661">
      <w:bodyDiv w:val="1"/>
      <w:marLeft w:val="0"/>
      <w:marRight w:val="0"/>
      <w:marTop w:val="0"/>
      <w:marBottom w:val="0"/>
      <w:divBdr>
        <w:top w:val="none" w:sz="0" w:space="0" w:color="auto"/>
        <w:left w:val="none" w:sz="0" w:space="0" w:color="auto"/>
        <w:bottom w:val="none" w:sz="0" w:space="0" w:color="auto"/>
        <w:right w:val="none" w:sz="0" w:space="0" w:color="auto"/>
      </w:divBdr>
    </w:div>
    <w:div w:id="1335717826">
      <w:bodyDiv w:val="1"/>
      <w:marLeft w:val="0"/>
      <w:marRight w:val="0"/>
      <w:marTop w:val="0"/>
      <w:marBottom w:val="0"/>
      <w:divBdr>
        <w:top w:val="none" w:sz="0" w:space="0" w:color="auto"/>
        <w:left w:val="none" w:sz="0" w:space="0" w:color="auto"/>
        <w:bottom w:val="none" w:sz="0" w:space="0" w:color="auto"/>
        <w:right w:val="none" w:sz="0" w:space="0" w:color="auto"/>
      </w:divBdr>
    </w:div>
    <w:div w:id="1690907175">
      <w:bodyDiv w:val="1"/>
      <w:marLeft w:val="0"/>
      <w:marRight w:val="0"/>
      <w:marTop w:val="0"/>
      <w:marBottom w:val="0"/>
      <w:divBdr>
        <w:top w:val="none" w:sz="0" w:space="0" w:color="auto"/>
        <w:left w:val="none" w:sz="0" w:space="0" w:color="auto"/>
        <w:bottom w:val="none" w:sz="0" w:space="0" w:color="auto"/>
        <w:right w:val="none" w:sz="0" w:space="0" w:color="auto"/>
      </w:divBdr>
    </w:div>
    <w:div w:id="2057729216">
      <w:bodyDiv w:val="1"/>
      <w:marLeft w:val="0"/>
      <w:marRight w:val="0"/>
      <w:marTop w:val="0"/>
      <w:marBottom w:val="0"/>
      <w:divBdr>
        <w:top w:val="none" w:sz="0" w:space="0" w:color="auto"/>
        <w:left w:val="none" w:sz="0" w:space="0" w:color="auto"/>
        <w:bottom w:val="none" w:sz="0" w:space="0" w:color="auto"/>
        <w:right w:val="none" w:sz="0" w:space="0" w:color="auto"/>
      </w:divBdr>
      <w:divsChild>
        <w:div w:id="59983440">
          <w:marLeft w:val="0"/>
          <w:marRight w:val="0"/>
          <w:marTop w:val="0"/>
          <w:marBottom w:val="0"/>
          <w:divBdr>
            <w:top w:val="none" w:sz="0" w:space="0" w:color="auto"/>
            <w:left w:val="none" w:sz="0" w:space="0" w:color="auto"/>
            <w:bottom w:val="none" w:sz="0" w:space="0" w:color="auto"/>
            <w:right w:val="none" w:sz="0" w:space="0" w:color="auto"/>
          </w:divBdr>
          <w:divsChild>
            <w:div w:id="218367794">
              <w:marLeft w:val="0"/>
              <w:marRight w:val="0"/>
              <w:marTop w:val="0"/>
              <w:marBottom w:val="0"/>
              <w:divBdr>
                <w:top w:val="none" w:sz="0" w:space="0" w:color="auto"/>
                <w:left w:val="none" w:sz="0" w:space="0" w:color="auto"/>
                <w:bottom w:val="none" w:sz="0" w:space="0" w:color="auto"/>
                <w:right w:val="none" w:sz="0" w:space="0" w:color="auto"/>
              </w:divBdr>
              <w:divsChild>
                <w:div w:id="55206789">
                  <w:marLeft w:val="0"/>
                  <w:marRight w:val="0"/>
                  <w:marTop w:val="0"/>
                  <w:marBottom w:val="0"/>
                  <w:divBdr>
                    <w:top w:val="none" w:sz="0" w:space="0" w:color="auto"/>
                    <w:left w:val="none" w:sz="0" w:space="0" w:color="auto"/>
                    <w:bottom w:val="none" w:sz="0" w:space="0" w:color="auto"/>
                    <w:right w:val="none" w:sz="0" w:space="0" w:color="auto"/>
                  </w:divBdr>
                  <w:divsChild>
                    <w:div w:id="4776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urnals.sagepub.com/doi/full/10.3102/000283120934897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deansforimpact.org/wp-content/uploads/2016/12/The_Science_of_Learning.pdf" TargetMode="External"/><Relationship Id="rId18" Type="http://schemas.openxmlformats.org/officeDocument/2006/relationships/hyperlink" Target="http://www.edtpa.com/PageView.aspx?f=GEN_AboutEdTPA.html" TargetMode="External"/><Relationship Id="rId26" Type="http://schemas.openxmlformats.org/officeDocument/2006/relationships/hyperlink" Target="https://www.unk.edu/academics/ted/transitional_certification/index.php" TargetMode="External"/><Relationship Id="rId3" Type="http://schemas.openxmlformats.org/officeDocument/2006/relationships/hyperlink" Target="https://www.state.nj.us/education/code/current/title6a/chap9a.pdf" TargetMode="External"/><Relationship Id="rId21" Type="http://schemas.openxmlformats.org/officeDocument/2006/relationships/hyperlink" Target="https://www.ets.org/ppa/test-takers/teachers/about" TargetMode="External"/><Relationship Id="rId7" Type="http://schemas.openxmlformats.org/officeDocument/2006/relationships/hyperlink" Target="https://regulations.delaware.gov/AdminCode/title14/200/290.shtml" TargetMode="External"/><Relationship Id="rId12" Type="http://schemas.openxmlformats.org/officeDocument/2006/relationships/hyperlink" Target="https://www.rand.org/content/dam/rand/pubs/research_reports/RR2300/RR2303z3/RAND_RR2303z3.pdf" TargetMode="External"/><Relationship Id="rId17" Type="http://schemas.openxmlformats.org/officeDocument/2006/relationships/hyperlink" Target="https://www.louisianabelieves.com/teaching/louisiana-mentor-teachers" TargetMode="External"/><Relationship Id="rId25" Type="http://schemas.openxmlformats.org/officeDocument/2006/relationships/hyperlink" Target="http://marylandpublicschools.org/stateboard/Documents/01232019/KirwanCommissionMeetingMaterials.pdf" TargetMode="External"/><Relationship Id="rId33" Type="http://schemas.openxmlformats.org/officeDocument/2006/relationships/hyperlink" Target="https://www.doe.k12.de.us/domain/398" TargetMode="External"/><Relationship Id="rId2" Type="http://schemas.openxmlformats.org/officeDocument/2006/relationships/hyperlink" Target="https://www2.ed.gov/admins/tchrqual/learn/preparingteachersconference/whitehurst.html" TargetMode="External"/><Relationship Id="rId16" Type="http://schemas.openxmlformats.org/officeDocument/2006/relationships/hyperlink" Target="https://curry.virginia.edu/classroom-assessment-scoring-system" TargetMode="External"/><Relationship Id="rId20" Type="http://schemas.openxmlformats.org/officeDocument/2006/relationships/hyperlink" Target="https://ccsso.org/sites/default/files/2017-12/2013_INTASC_Learning_Progressions_for_Teachers.pdf" TargetMode="External"/><Relationship Id="rId29" Type="http://schemas.openxmlformats.org/officeDocument/2006/relationships/hyperlink" Target="https://nppc.nebraska.gov/sites/nppc.nebraska.gov/files/doc/Standards_of_Competency_Brochure2012.pdf" TargetMode="External"/><Relationship Id="rId1" Type="http://schemas.openxmlformats.org/officeDocument/2006/relationships/hyperlink" Target="https://journals.sagepub.com/doi/10.1177/0022487118800712" TargetMode="External"/><Relationship Id="rId6" Type="http://schemas.openxmlformats.org/officeDocument/2006/relationships/hyperlink" Target="http://ecs.force.com/mbdata/MBProfSN?SID=a0i700000009vaF&amp;rep=TQST&amp;state=connecticut" TargetMode="External"/><Relationship Id="rId11" Type="http://schemas.openxmlformats.org/officeDocument/2006/relationships/hyperlink" Target="https://jscholarship.library.jhu.edu/bitstream/handle/1774.2/62968/curriculum-literacy-in-schools-of-education-final-2911-1.pdf?sequence=1&amp;isAllowed=y" TargetMode="External"/><Relationship Id="rId24" Type="http://schemas.openxmlformats.org/officeDocument/2006/relationships/hyperlink" Target="https://www.nbpts.org/national-board-certification/in-your-state/" TargetMode="External"/><Relationship Id="rId32" Type="http://schemas.openxmlformats.org/officeDocument/2006/relationships/hyperlink" Target="https://www.louisianabelieves.com/docs/default-source/key-compass-resources/2014-2015-compass-teacher-rubric.pdf?sfvrsn=14" TargetMode="External"/><Relationship Id="rId5" Type="http://schemas.openxmlformats.org/officeDocument/2006/relationships/hyperlink" Target="http://ecs.force.com/mbdata/MBProfSN?SID=a0i700000009vaF&amp;rep=TQST&amp;state=Pennsylvania" TargetMode="External"/><Relationship Id="rId15" Type="http://schemas.openxmlformats.org/officeDocument/2006/relationships/hyperlink" Target="https://www.education.ne.gov/educatorprep/information-for-institutions/ihe-clinicalprac/" TargetMode="External"/><Relationship Id="rId23" Type="http://schemas.openxmlformats.org/officeDocument/2006/relationships/hyperlink" Target="https://www.nola.com/news/education/article_46b121e0-f1e7-11e9-bb3c-0fb577bbd602.html" TargetMode="External"/><Relationship Id="rId28" Type="http://schemas.openxmlformats.org/officeDocument/2006/relationships/hyperlink" Target="https://cdn.education.ne.gov/wp-content/uploads/2017/10/CLEANRULE10_2015LD.pdf" TargetMode="External"/><Relationship Id="rId10" Type="http://schemas.openxmlformats.org/officeDocument/2006/relationships/hyperlink" Target="https://www.nctq.org/dmsView/UE_2016_Reading_Findings" TargetMode="External"/><Relationship Id="rId19" Type="http://schemas.openxmlformats.org/officeDocument/2006/relationships/hyperlink" Target="https://blogs.edweek.org/edweek/teacherbeat/2016/05/edtpa_teaching_exam_study_mixed.html" TargetMode="External"/><Relationship Id="rId31" Type="http://schemas.openxmlformats.org/officeDocument/2006/relationships/hyperlink" Target="https://cdn.education.ne.gov/wp-content/uploads/2019/06/Core-Comps.pdf" TargetMode="External"/><Relationship Id="rId4" Type="http://schemas.openxmlformats.org/officeDocument/2006/relationships/hyperlink" Target="http://www.marylandpublicschools.org/stateboard/Documents/06252019/TabJ-13A.07.06ProgramProfessionallyCertificated.pdf" TargetMode="External"/><Relationship Id="rId9" Type="http://schemas.openxmlformats.org/officeDocument/2006/relationships/hyperlink" Target="https://www.mdek12.org/sites/default/files/Offices/MDE/OAE/OEER/Literacy/diagnostic_assessment_guidance_screener_companion_guide_combinedaug16_v2.pdf" TargetMode="External"/><Relationship Id="rId14" Type="http://schemas.openxmlformats.org/officeDocument/2006/relationships/hyperlink" Target="https://deansforimpact.org/wp-content/uploads/2017/01/The_Science_of_Early_Learning.pdf" TargetMode="External"/><Relationship Id="rId22" Type="http://schemas.openxmlformats.org/officeDocument/2006/relationships/hyperlink" Target="https://cdn.education.ne.gov/wp-content/uploads/2020/01/2019-Teacher-Vacancy-Report.pdf" TargetMode="External"/><Relationship Id="rId27" Type="http://schemas.openxmlformats.org/officeDocument/2006/relationships/hyperlink" Target="https://cdn.education.ne.gov/wp-content/uploads/2017/10/Rule20_2014.pdf" TargetMode="External"/><Relationship Id="rId30" Type="http://schemas.openxmlformats.org/officeDocument/2006/relationships/hyperlink" Target="https://cdn.education.ne.gov/wp-content/uploads/2020/06/TeacherPrincipalPerformanceStandards2020.pdf" TargetMode="External"/><Relationship Id="rId8" Type="http://schemas.openxmlformats.org/officeDocument/2006/relationships/hyperlink" Target="https://ies.ed.gov/ncee/edlabs/regions/northwest/pdf/potential-testing-barri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31263CCABE70449FD2FD90F17DDFBB" ma:contentTypeVersion="12" ma:contentTypeDescription="Create a new document." ma:contentTypeScope="" ma:versionID="f9d374a15bacb94d95255fa600c8380e">
  <xsd:schema xmlns:xsd="http://www.w3.org/2001/XMLSchema" xmlns:xs="http://www.w3.org/2001/XMLSchema" xmlns:p="http://schemas.microsoft.com/office/2006/metadata/properties" xmlns:ns2="e118cbe8-4eae-4d1a-8272-ef6a86e4426f" xmlns:ns3="b90ce045-60b1-4e89-b15c-46906a6f2656" targetNamespace="http://schemas.microsoft.com/office/2006/metadata/properties" ma:root="true" ma:fieldsID="123e8984ad1a05a4ad967c163c34f464" ns2:_="" ns3:_="">
    <xsd:import namespace="e118cbe8-4eae-4d1a-8272-ef6a86e4426f"/>
    <xsd:import namespace="b90ce045-60b1-4e89-b15c-46906a6f2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8cbe8-4eae-4d1a-8272-ef6a86e44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ce045-60b1-4e89-b15c-46906a6f26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C2386-9B51-4669-B817-9ED2C388D3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13D73-60B2-4EAC-AF6D-664A27DF0963}">
  <ds:schemaRefs>
    <ds:schemaRef ds:uri="http://schemas.microsoft.com/sharepoint/v3/contenttype/forms"/>
  </ds:schemaRefs>
</ds:datastoreItem>
</file>

<file path=customXml/itemProps3.xml><?xml version="1.0" encoding="utf-8"?>
<ds:datastoreItem xmlns:ds="http://schemas.openxmlformats.org/officeDocument/2006/customXml" ds:itemID="{A2FC7EFE-6970-44C0-90D5-FC696C381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8cbe8-4eae-4d1a-8272-ef6a86e4426f"/>
    <ds:schemaRef ds:uri="b90ce045-60b1-4e89-b15c-46906a6f2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3908</Words>
  <Characters>22280</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Heineke, Kelly</dc:creator>
  <cp:lastModifiedBy>Heineke, Kelly</cp:lastModifiedBy>
  <cp:revision>2</cp:revision>
  <dcterms:created xsi:type="dcterms:W3CDTF">2021-02-05T21:38:00Z</dcterms:created>
  <dcterms:modified xsi:type="dcterms:W3CDTF">2021-02-05T21:38:00Z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0x010100A731263CCABE70449FD2FD90F17DDFBB</vt:lpwstr>
  </property>
</Properties>
</file>