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C534" w14:textId="77777777" w:rsidR="00BE4610" w:rsidRDefault="00EF751A">
      <w:pPr>
        <w:spacing w:after="59" w:line="259" w:lineRule="auto"/>
        <w:ind w:left="0" w:firstLine="0"/>
      </w:pPr>
      <w:r>
        <w:rPr>
          <w:b/>
          <w:sz w:val="32"/>
        </w:rPr>
        <w:t xml:space="preserve">Role and Function of a Work-Based Learning Coordinator </w:t>
      </w:r>
    </w:p>
    <w:p w14:paraId="1CDC4AA3" w14:textId="77777777" w:rsidR="00BE4610" w:rsidRDefault="00EF751A">
      <w:pPr>
        <w:spacing w:after="0" w:line="259" w:lineRule="auto"/>
        <w:ind w:left="0" w:firstLine="0"/>
      </w:pPr>
      <w:r>
        <w:t xml:space="preserve"> </w:t>
      </w:r>
    </w:p>
    <w:p w14:paraId="4A2814AC" w14:textId="77777777" w:rsidR="00BE4610" w:rsidRDefault="00EF751A">
      <w:pPr>
        <w:spacing w:after="192"/>
      </w:pPr>
      <w:r>
        <w:t>A Work-Based Learning Coordinator combines and coordinates efforts of many individuals, assuring that work-</w:t>
      </w:r>
      <w:r>
        <w:t xml:space="preserve">based learning experiences effectively and efficiently help students develop knowledge, skills, attitudes, and work habits so they can move successfully into the world of work. Work-Based Learning Coordinators will have successfully completed the </w:t>
      </w:r>
      <w:hyperlink r:id="rId5">
        <w:r>
          <w:rPr>
            <w:color w:val="0563C1"/>
            <w:u w:val="single" w:color="0563C1"/>
          </w:rPr>
          <w:t>Work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based</w:t>
        </w:r>
      </w:hyperlink>
      <w:hyperlink r:id="rId8">
        <w:r>
          <w:rPr>
            <w:color w:val="0563C1"/>
          </w:rPr>
          <w:t xml:space="preserve"> </w:t>
        </w:r>
      </w:hyperlink>
      <w:hyperlink r:id="rId9">
        <w:r>
          <w:rPr>
            <w:color w:val="0563C1"/>
            <w:u w:val="single" w:color="0563C1"/>
          </w:rPr>
          <w:t>Learning Supplemental Endorsement</w:t>
        </w:r>
      </w:hyperlink>
      <w:hyperlink r:id="rId10">
        <w:r>
          <w:t>.</w:t>
        </w:r>
      </w:hyperlink>
      <w:r>
        <w:t xml:space="preserve"> The f</w:t>
      </w:r>
      <w:r>
        <w:t>unctions and responsibilities of the WBL Coordinator include program planning, development, and evaluation; related-class instruction; on-the-job instruction and coordination; guidance and advice; program administration and management; and community and pu</w:t>
      </w:r>
      <w:r>
        <w:t xml:space="preserve">blic relations: </w:t>
      </w:r>
    </w:p>
    <w:p w14:paraId="7EADF2EE" w14:textId="77777777" w:rsidR="00BE4610" w:rsidRDefault="00EF751A">
      <w:pPr>
        <w:pStyle w:val="Heading1"/>
        <w:ind w:left="-5"/>
      </w:pPr>
      <w:r>
        <w:t xml:space="preserve">Program Planning, Development, and Evaluation </w:t>
      </w:r>
    </w:p>
    <w:p w14:paraId="724D9C9A" w14:textId="77777777" w:rsidR="00BE4610" w:rsidRDefault="00EF751A">
      <w:pPr>
        <w:numPr>
          <w:ilvl w:val="0"/>
          <w:numId w:val="1"/>
        </w:numPr>
        <w:ind w:hanging="360"/>
      </w:pPr>
      <w:r>
        <w:t xml:space="preserve">Review the components and requirements of a work-based learning program. </w:t>
      </w:r>
    </w:p>
    <w:p w14:paraId="267DC1CC" w14:textId="77777777" w:rsidR="00BE4610" w:rsidRDefault="00EF751A">
      <w:pPr>
        <w:numPr>
          <w:ilvl w:val="0"/>
          <w:numId w:val="1"/>
        </w:numPr>
        <w:ind w:hanging="360"/>
      </w:pPr>
      <w:r>
        <w:t xml:space="preserve">Effectively use community resources. </w:t>
      </w:r>
    </w:p>
    <w:p w14:paraId="418080B5" w14:textId="77777777" w:rsidR="00BE4610" w:rsidRDefault="00EF751A">
      <w:pPr>
        <w:numPr>
          <w:ilvl w:val="0"/>
          <w:numId w:val="1"/>
        </w:numPr>
        <w:ind w:hanging="360"/>
      </w:pPr>
      <w:r>
        <w:t xml:space="preserve">Develop objectives and responsibilities for the program. </w:t>
      </w:r>
    </w:p>
    <w:p w14:paraId="79D6722C" w14:textId="77777777" w:rsidR="00BE4610" w:rsidRDefault="00EF751A">
      <w:pPr>
        <w:numPr>
          <w:ilvl w:val="0"/>
          <w:numId w:val="1"/>
        </w:numPr>
        <w:ind w:hanging="360"/>
      </w:pPr>
      <w:r>
        <w:t>Include student self-k</w:t>
      </w:r>
      <w:r>
        <w:t xml:space="preserve">nowledge exploration and planning. </w:t>
      </w:r>
    </w:p>
    <w:p w14:paraId="32E6FAB2" w14:textId="77777777" w:rsidR="00BE4610" w:rsidRDefault="00EF751A">
      <w:pPr>
        <w:numPr>
          <w:ilvl w:val="0"/>
          <w:numId w:val="1"/>
        </w:numPr>
        <w:ind w:hanging="360"/>
      </w:pPr>
      <w:r>
        <w:t xml:space="preserve">Design the program to include continued improvement and re-evaluation. </w:t>
      </w:r>
    </w:p>
    <w:p w14:paraId="622C4A1D" w14:textId="77777777" w:rsidR="00BE4610" w:rsidRDefault="00EF751A">
      <w:pPr>
        <w:numPr>
          <w:ilvl w:val="0"/>
          <w:numId w:val="1"/>
        </w:numPr>
        <w:spacing w:after="192"/>
        <w:ind w:hanging="360"/>
      </w:pPr>
      <w:r>
        <w:t>Work closely with school counselor(s), career field teachers, SPED and VR teachers and staff in the planning, development and evaluation of the prog</w:t>
      </w:r>
      <w:r>
        <w:t xml:space="preserve">ram to ensure that decisions are made with equity and inclusion in mind. </w:t>
      </w:r>
    </w:p>
    <w:p w14:paraId="5824375D" w14:textId="77777777" w:rsidR="00BE4610" w:rsidRDefault="00EF751A">
      <w:pPr>
        <w:pStyle w:val="Heading1"/>
        <w:ind w:left="-5"/>
      </w:pPr>
      <w:r>
        <w:t xml:space="preserve">Related-Class Instruction  </w:t>
      </w:r>
    </w:p>
    <w:p w14:paraId="006CDC28" w14:textId="77777777" w:rsidR="00BE4610" w:rsidRDefault="00EF751A">
      <w:pPr>
        <w:numPr>
          <w:ilvl w:val="0"/>
          <w:numId w:val="2"/>
        </w:numPr>
        <w:ind w:hanging="360"/>
      </w:pPr>
      <w:r>
        <w:t xml:space="preserve">Review and evaluate curriculum. </w:t>
      </w:r>
    </w:p>
    <w:p w14:paraId="6B469730" w14:textId="77777777" w:rsidR="00BE4610" w:rsidRDefault="00EF751A">
      <w:pPr>
        <w:numPr>
          <w:ilvl w:val="0"/>
          <w:numId w:val="2"/>
        </w:numPr>
        <w:ind w:hanging="360"/>
      </w:pPr>
      <w:r>
        <w:t>Develop curriculum for both general-related and specific-related instruction; link efforts with other career and technica</w:t>
      </w:r>
      <w:r>
        <w:t xml:space="preserve">l education staff to provide specific-related instruction. </w:t>
      </w:r>
    </w:p>
    <w:p w14:paraId="0E22F02C" w14:textId="77777777" w:rsidR="00BE4610" w:rsidRDefault="00EF751A">
      <w:pPr>
        <w:numPr>
          <w:ilvl w:val="0"/>
          <w:numId w:val="2"/>
        </w:numPr>
        <w:ind w:hanging="360"/>
      </w:pPr>
      <w:r>
        <w:t xml:space="preserve">Develop outcome-based, measurable student objectives.  </w:t>
      </w:r>
    </w:p>
    <w:p w14:paraId="6D647E01" w14:textId="77777777" w:rsidR="00BE4610" w:rsidRDefault="00EF751A">
      <w:pPr>
        <w:numPr>
          <w:ilvl w:val="0"/>
          <w:numId w:val="2"/>
        </w:numPr>
        <w:ind w:hanging="360"/>
      </w:pPr>
      <w:r>
        <w:t xml:space="preserve">Correlate classroom and on-the-job training.  </w:t>
      </w:r>
    </w:p>
    <w:p w14:paraId="4342EB24" w14:textId="77777777" w:rsidR="00BE4610" w:rsidRDefault="00EF751A">
      <w:pPr>
        <w:numPr>
          <w:ilvl w:val="0"/>
          <w:numId w:val="2"/>
        </w:numPr>
        <w:ind w:hanging="360"/>
      </w:pPr>
      <w:r>
        <w:t xml:space="preserve">Individualize instruction, as appropriate.  </w:t>
      </w:r>
    </w:p>
    <w:p w14:paraId="7943AACD" w14:textId="77777777" w:rsidR="00BE4610" w:rsidRDefault="00EF751A">
      <w:pPr>
        <w:numPr>
          <w:ilvl w:val="0"/>
          <w:numId w:val="2"/>
        </w:numPr>
        <w:spacing w:after="191"/>
        <w:ind w:hanging="360"/>
      </w:pPr>
      <w:r>
        <w:t>Evaluate instruction and curriculum, using input</w:t>
      </w:r>
      <w:r>
        <w:t xml:space="preserve"> from students, employers/worksite supervisors, and advisory council members. </w:t>
      </w:r>
    </w:p>
    <w:p w14:paraId="33FC7BCD" w14:textId="77777777" w:rsidR="00BE4610" w:rsidRDefault="00EF751A">
      <w:pPr>
        <w:pStyle w:val="Heading1"/>
        <w:ind w:left="-5"/>
      </w:pPr>
      <w:r>
        <w:t xml:space="preserve">On-the-Job Instruction and Coordination  </w:t>
      </w:r>
    </w:p>
    <w:p w14:paraId="78262EBA" w14:textId="77777777" w:rsidR="00BE4610" w:rsidRDefault="00EF751A">
      <w:pPr>
        <w:numPr>
          <w:ilvl w:val="0"/>
          <w:numId w:val="3"/>
        </w:numPr>
        <w:ind w:hanging="360"/>
      </w:pPr>
      <w:r>
        <w:t xml:space="preserve">Evaluate, select, and establish worksites.  </w:t>
      </w:r>
    </w:p>
    <w:p w14:paraId="6BDB8BCE" w14:textId="77777777" w:rsidR="00BE4610" w:rsidRDefault="00EF751A">
      <w:pPr>
        <w:numPr>
          <w:ilvl w:val="0"/>
          <w:numId w:val="3"/>
        </w:numPr>
        <w:ind w:hanging="360"/>
      </w:pPr>
      <w:r>
        <w:t xml:space="preserve">Inform worksite supervisors </w:t>
      </w:r>
      <w:r>
        <w:t xml:space="preserve">and parents of their role and responsibilities.  </w:t>
      </w:r>
    </w:p>
    <w:p w14:paraId="608F4FF3" w14:textId="77777777" w:rsidR="00BE4610" w:rsidRDefault="00EF751A">
      <w:pPr>
        <w:numPr>
          <w:ilvl w:val="0"/>
          <w:numId w:val="3"/>
        </w:numPr>
        <w:ind w:hanging="360"/>
      </w:pPr>
      <w:r>
        <w:t xml:space="preserve">Create, monitor, and adjust training plans in collaboration with the worksite supervisor and student.  </w:t>
      </w:r>
    </w:p>
    <w:p w14:paraId="74FB0FB1" w14:textId="77777777" w:rsidR="00BE4610" w:rsidRDefault="00EF751A">
      <w:pPr>
        <w:numPr>
          <w:ilvl w:val="0"/>
          <w:numId w:val="3"/>
        </w:numPr>
        <w:ind w:hanging="360"/>
      </w:pPr>
      <w:r>
        <w:t xml:space="preserve">Help worksite supervisors develop teaching techniques for working with students.  </w:t>
      </w:r>
    </w:p>
    <w:p w14:paraId="5E95E126" w14:textId="77777777" w:rsidR="00BE4610" w:rsidRDefault="00EF751A">
      <w:pPr>
        <w:numPr>
          <w:ilvl w:val="0"/>
          <w:numId w:val="3"/>
        </w:numPr>
        <w:ind w:hanging="360"/>
      </w:pPr>
      <w:r>
        <w:t>Monitor student pro</w:t>
      </w:r>
      <w:r>
        <w:t xml:space="preserve">gress through regular on-site visits and on-going communication.  </w:t>
      </w:r>
    </w:p>
    <w:p w14:paraId="36EB65B7" w14:textId="77777777" w:rsidR="00BE4610" w:rsidRDefault="00EF751A">
      <w:pPr>
        <w:numPr>
          <w:ilvl w:val="0"/>
          <w:numId w:val="3"/>
        </w:numPr>
        <w:ind w:hanging="360"/>
      </w:pPr>
      <w:r>
        <w:t xml:space="preserve">Review state and federal labor and safety and health laws with the employer/worksite supervisor and student.  </w:t>
      </w:r>
    </w:p>
    <w:p w14:paraId="7FAA016E" w14:textId="77777777" w:rsidR="00BE4610" w:rsidRDefault="00EF751A">
      <w:pPr>
        <w:numPr>
          <w:ilvl w:val="0"/>
          <w:numId w:val="3"/>
        </w:numPr>
        <w:spacing w:after="905"/>
        <w:ind w:hanging="360"/>
      </w:pPr>
      <w:r>
        <w:t xml:space="preserve">Seek student evaluation of the worksite.  </w:t>
      </w:r>
    </w:p>
    <w:p w14:paraId="3805E501" w14:textId="77777777" w:rsidR="00BE4610" w:rsidRDefault="00EF751A">
      <w:pPr>
        <w:tabs>
          <w:tab w:val="center" w:pos="4682"/>
          <w:tab w:val="center" w:pos="8770"/>
        </w:tabs>
        <w:spacing w:after="19" w:line="259" w:lineRule="auto"/>
        <w:ind w:left="-15" w:firstLine="0"/>
      </w:pPr>
      <w:r>
        <w:rPr>
          <w:rFonts w:ascii="Calibri" w:eastAsia="Calibri" w:hAnsi="Calibri" w:cs="Calibri"/>
          <w:color w:val="767171"/>
          <w:sz w:val="18"/>
        </w:rPr>
        <w:t>Role and Function of a WBL Coordina</w:t>
      </w:r>
      <w:r>
        <w:rPr>
          <w:rFonts w:ascii="Calibri" w:eastAsia="Calibri" w:hAnsi="Calibri" w:cs="Calibri"/>
          <w:color w:val="767171"/>
          <w:sz w:val="18"/>
        </w:rPr>
        <w:t xml:space="preserve">tor  </w:t>
      </w:r>
      <w:r>
        <w:rPr>
          <w:rFonts w:ascii="Calibri" w:eastAsia="Calibri" w:hAnsi="Calibri" w:cs="Calibri"/>
          <w:color w:val="767171"/>
          <w:sz w:val="18"/>
        </w:rPr>
        <w:tab/>
        <w:t>page 1 of 2</w:t>
      </w:r>
      <w:r>
        <w:rPr>
          <w:rFonts w:ascii="Calibri" w:eastAsia="Calibri" w:hAnsi="Calibri" w:cs="Calibri"/>
          <w:b/>
          <w:color w:val="767171"/>
          <w:sz w:val="18"/>
        </w:rPr>
        <w:t xml:space="preserve"> </w:t>
      </w:r>
      <w:r>
        <w:rPr>
          <w:rFonts w:ascii="Calibri" w:eastAsia="Calibri" w:hAnsi="Calibri" w:cs="Calibri"/>
          <w:b/>
          <w:color w:val="767171"/>
          <w:sz w:val="18"/>
        </w:rPr>
        <w:tab/>
      </w:r>
      <w:r>
        <w:rPr>
          <w:rFonts w:ascii="Calibri" w:eastAsia="Calibri" w:hAnsi="Calibri" w:cs="Calibri"/>
          <w:color w:val="767171"/>
          <w:sz w:val="18"/>
        </w:rPr>
        <w:t xml:space="preserve">updated 8/2020 </w:t>
      </w:r>
    </w:p>
    <w:p w14:paraId="552F1D92" w14:textId="77777777" w:rsidR="00BE4610" w:rsidRDefault="00EF751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B8E4B73" w14:textId="77777777" w:rsidR="00BE4610" w:rsidRDefault="00EF751A">
      <w:pPr>
        <w:pStyle w:val="Heading1"/>
        <w:ind w:left="-5"/>
      </w:pPr>
      <w:r>
        <w:lastRenderedPageBreak/>
        <w:t xml:space="preserve">Guidance and Advising  </w:t>
      </w:r>
    </w:p>
    <w:p w14:paraId="6CF13359" w14:textId="77777777" w:rsidR="00BE4610" w:rsidRDefault="00EF751A">
      <w:pPr>
        <w:numPr>
          <w:ilvl w:val="0"/>
          <w:numId w:val="4"/>
        </w:numPr>
        <w:ind w:hanging="360"/>
      </w:pPr>
      <w:r>
        <w:t xml:space="preserve">Advise potential program enrollees, working </w:t>
      </w:r>
      <w:r>
        <w:t xml:space="preserve">with school counselor(s), career field teachers, and SPED and VR teachers and staff.  </w:t>
      </w:r>
    </w:p>
    <w:p w14:paraId="7C4BBC7D" w14:textId="77777777" w:rsidR="00BE4610" w:rsidRDefault="00EF751A">
      <w:pPr>
        <w:numPr>
          <w:ilvl w:val="0"/>
          <w:numId w:val="4"/>
        </w:numPr>
        <w:ind w:hanging="360"/>
      </w:pPr>
      <w:r>
        <w:t xml:space="preserve">Provide reference material for career information.  </w:t>
      </w:r>
    </w:p>
    <w:p w14:paraId="008AFBA1" w14:textId="77777777" w:rsidR="00BE4610" w:rsidRDefault="00EF751A">
      <w:pPr>
        <w:numPr>
          <w:ilvl w:val="0"/>
          <w:numId w:val="4"/>
        </w:numPr>
        <w:ind w:hanging="360"/>
      </w:pPr>
      <w:r>
        <w:t xml:space="preserve">Help students develop good work habits.  </w:t>
      </w:r>
    </w:p>
    <w:p w14:paraId="6EE3F879" w14:textId="77777777" w:rsidR="00BE4610" w:rsidRDefault="00EF751A">
      <w:pPr>
        <w:numPr>
          <w:ilvl w:val="0"/>
          <w:numId w:val="4"/>
        </w:numPr>
        <w:ind w:hanging="360"/>
      </w:pPr>
      <w:r>
        <w:t>Provide participating students with information about relevant</w:t>
      </w:r>
      <w:hyperlink r:id="rId11">
        <w:r>
          <w:t xml:space="preserve"> </w:t>
        </w:r>
      </w:hyperlink>
      <w:hyperlink r:id="rId12">
        <w:r>
          <w:rPr>
            <w:color w:val="0563C1"/>
            <w:u w:val="single" w:color="0563C1"/>
          </w:rPr>
          <w:t>Career and Technical</w:t>
        </w:r>
      </w:hyperlink>
      <w:hyperlink r:id="rId13">
        <w:r>
          <w:rPr>
            <w:color w:val="0563C1"/>
          </w:rPr>
          <w:t xml:space="preserve"> </w:t>
        </w:r>
      </w:hyperlink>
      <w:hyperlink r:id="rId14">
        <w:r>
          <w:rPr>
            <w:color w:val="0563C1"/>
            <w:u w:val="single" w:color="0563C1"/>
          </w:rPr>
          <w:t>Student Organization</w:t>
        </w:r>
      </w:hyperlink>
      <w:hyperlink r:id="rId15">
        <w:r>
          <w:t xml:space="preserve"> </w:t>
        </w:r>
      </w:hyperlink>
      <w:r>
        <w:t xml:space="preserve">(CTSO) opportunities.  </w:t>
      </w:r>
    </w:p>
    <w:p w14:paraId="3AC02182" w14:textId="77777777" w:rsidR="00BE4610" w:rsidRDefault="00EF751A">
      <w:pPr>
        <w:numPr>
          <w:ilvl w:val="0"/>
          <w:numId w:val="4"/>
        </w:numPr>
        <w:ind w:hanging="360"/>
      </w:pPr>
      <w:r>
        <w:t xml:space="preserve">Develop and coordinate work experiences that encourage nontraditional occupational opportunities.  </w:t>
      </w:r>
    </w:p>
    <w:p w14:paraId="77D25EA7" w14:textId="77777777" w:rsidR="00BE4610" w:rsidRDefault="00EF751A">
      <w:pPr>
        <w:numPr>
          <w:ilvl w:val="0"/>
          <w:numId w:val="4"/>
        </w:numPr>
        <w:ind w:hanging="360"/>
      </w:pPr>
      <w:r>
        <w:t xml:space="preserve">Recognize when students need counseling from other staff members and agencies.  </w:t>
      </w:r>
    </w:p>
    <w:p w14:paraId="5C86121F" w14:textId="77777777" w:rsidR="00BE4610" w:rsidRDefault="00EF751A">
      <w:pPr>
        <w:numPr>
          <w:ilvl w:val="0"/>
          <w:numId w:val="4"/>
        </w:numPr>
        <w:ind w:hanging="360"/>
      </w:pPr>
      <w:r>
        <w:t>Help students determine ways to best descr</w:t>
      </w:r>
      <w:r>
        <w:t xml:space="preserve">ibe their marketable skills.  </w:t>
      </w:r>
    </w:p>
    <w:p w14:paraId="1E720701" w14:textId="77777777" w:rsidR="00BE4610" w:rsidRDefault="00EF751A">
      <w:pPr>
        <w:numPr>
          <w:ilvl w:val="0"/>
          <w:numId w:val="4"/>
        </w:numPr>
        <w:spacing w:after="211"/>
        <w:ind w:hanging="360"/>
      </w:pPr>
      <w:r>
        <w:t xml:space="preserve">Assist graduating students with the various aspects of the job search.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Write letters of recommendation for students. </w:t>
      </w:r>
      <w:r>
        <w:rPr>
          <w:b/>
          <w:i/>
        </w:rPr>
        <w:t xml:space="preserve"> </w:t>
      </w:r>
    </w:p>
    <w:p w14:paraId="17837FBE" w14:textId="77777777" w:rsidR="00BE4610" w:rsidRDefault="00EF751A">
      <w:pPr>
        <w:pStyle w:val="Heading1"/>
        <w:ind w:left="-5"/>
      </w:pPr>
      <w:r>
        <w:t xml:space="preserve">Program Administration, Management, and Evaluation </w:t>
      </w:r>
    </w:p>
    <w:p w14:paraId="2AC84F5A" w14:textId="77777777" w:rsidR="00BE4610" w:rsidRDefault="00EF751A">
      <w:pPr>
        <w:numPr>
          <w:ilvl w:val="0"/>
          <w:numId w:val="5"/>
        </w:numPr>
        <w:ind w:hanging="360"/>
      </w:pPr>
      <w:r>
        <w:t>Establish and use an advisory council/advisory boa</w:t>
      </w:r>
      <w:r>
        <w:t xml:space="preserve">rd.  </w:t>
      </w:r>
    </w:p>
    <w:p w14:paraId="6198F36E" w14:textId="77777777" w:rsidR="00BE4610" w:rsidRDefault="00EF751A">
      <w:pPr>
        <w:numPr>
          <w:ilvl w:val="0"/>
          <w:numId w:val="5"/>
        </w:numPr>
        <w:ind w:hanging="360"/>
      </w:pPr>
      <w:r>
        <w:t xml:space="preserve">Develop and file written training plans and agreements.  </w:t>
      </w:r>
    </w:p>
    <w:p w14:paraId="43BFA498" w14:textId="77777777" w:rsidR="00BE4610" w:rsidRDefault="00EF751A">
      <w:pPr>
        <w:numPr>
          <w:ilvl w:val="0"/>
          <w:numId w:val="5"/>
        </w:numPr>
        <w:ind w:hanging="360"/>
      </w:pPr>
      <w:r>
        <w:t xml:space="preserve">Know and assure compliance with relevant state and federal labor laws. </w:t>
      </w:r>
    </w:p>
    <w:p w14:paraId="2A1A28B2" w14:textId="77777777" w:rsidR="00BE4610" w:rsidRDefault="00EF751A">
      <w:pPr>
        <w:numPr>
          <w:ilvl w:val="0"/>
          <w:numId w:val="5"/>
        </w:numPr>
        <w:ind w:hanging="360"/>
      </w:pPr>
      <w:r>
        <w:t xml:space="preserve">Effectively manage resources including facilities, equipment, and supplies.  </w:t>
      </w:r>
    </w:p>
    <w:p w14:paraId="48980776" w14:textId="77777777" w:rsidR="00BE4610" w:rsidRDefault="00EF751A">
      <w:pPr>
        <w:numPr>
          <w:ilvl w:val="0"/>
          <w:numId w:val="5"/>
        </w:numPr>
        <w:ind w:hanging="360"/>
      </w:pPr>
      <w:r>
        <w:t xml:space="preserve">Ensure student-learner safety and health protection.  </w:t>
      </w:r>
    </w:p>
    <w:p w14:paraId="0B6308B2" w14:textId="77777777" w:rsidR="00BE4610" w:rsidRDefault="00EF751A">
      <w:pPr>
        <w:numPr>
          <w:ilvl w:val="0"/>
          <w:numId w:val="5"/>
        </w:numPr>
        <w:ind w:hanging="360"/>
      </w:pPr>
      <w:r>
        <w:t xml:space="preserve">Prepare, administer, and analyze student and employer follow-up surveys. </w:t>
      </w:r>
    </w:p>
    <w:p w14:paraId="71514B6F" w14:textId="77777777" w:rsidR="00BE4610" w:rsidRDefault="00EF751A">
      <w:pPr>
        <w:numPr>
          <w:ilvl w:val="0"/>
          <w:numId w:val="5"/>
        </w:numPr>
        <w:spacing w:after="170"/>
        <w:ind w:hanging="360"/>
      </w:pPr>
      <w:r>
        <w:t xml:space="preserve">Seek evaluation from advisory council members.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Prepare and analyze year-end reports.  </w:t>
      </w:r>
    </w:p>
    <w:p w14:paraId="56C7D90F" w14:textId="77777777" w:rsidR="00BE4610" w:rsidRDefault="00EF751A">
      <w:pPr>
        <w:pStyle w:val="Heading1"/>
        <w:ind w:left="-5"/>
      </w:pPr>
      <w:r>
        <w:t xml:space="preserve">Community and Public Relations  </w:t>
      </w:r>
    </w:p>
    <w:p w14:paraId="4BDEF87A" w14:textId="77777777" w:rsidR="00BE4610" w:rsidRDefault="00EF751A">
      <w:pPr>
        <w:numPr>
          <w:ilvl w:val="0"/>
          <w:numId w:val="6"/>
        </w:numPr>
        <w:ind w:hanging="360"/>
      </w:pPr>
      <w:r>
        <w:t xml:space="preserve">Use community resources to enrich work-based learning.  </w:t>
      </w:r>
    </w:p>
    <w:p w14:paraId="43EF4CF7" w14:textId="77777777" w:rsidR="00BE4610" w:rsidRDefault="00EF751A">
      <w:pPr>
        <w:numPr>
          <w:ilvl w:val="0"/>
          <w:numId w:val="6"/>
        </w:numPr>
        <w:ind w:hanging="360"/>
      </w:pPr>
      <w:r>
        <w:t>Contact and use news media to publicize work-</w:t>
      </w:r>
      <w:r>
        <w:t xml:space="preserve">based learning student programs, events, projects, materials, proceedings of advisory council meetings, and related items.  </w:t>
      </w:r>
    </w:p>
    <w:p w14:paraId="4E68881B" w14:textId="77777777" w:rsidR="00BE4610" w:rsidRDefault="00EF751A">
      <w:pPr>
        <w:numPr>
          <w:ilvl w:val="0"/>
          <w:numId w:val="6"/>
        </w:numPr>
        <w:ind w:hanging="360"/>
      </w:pPr>
      <w:r>
        <w:t xml:space="preserve">Create promotional materials for potential training stations and students.  </w:t>
      </w:r>
    </w:p>
    <w:p w14:paraId="1B3A4EA0" w14:textId="77777777" w:rsidR="00BE4610" w:rsidRDefault="00EF751A">
      <w:pPr>
        <w:numPr>
          <w:ilvl w:val="0"/>
          <w:numId w:val="6"/>
        </w:numPr>
        <w:ind w:hanging="360"/>
      </w:pPr>
      <w:r>
        <w:t>Visit previous and potential training stations to prom</w:t>
      </w:r>
      <w:r>
        <w:t xml:space="preserve">ote work-based learning.  </w:t>
      </w:r>
    </w:p>
    <w:p w14:paraId="26E7094C" w14:textId="77777777" w:rsidR="00BE4610" w:rsidRDefault="00EF751A">
      <w:pPr>
        <w:numPr>
          <w:ilvl w:val="0"/>
          <w:numId w:val="6"/>
        </w:numPr>
        <w:ind w:hanging="360"/>
      </w:pPr>
      <w:r>
        <w:t xml:space="preserve">Use the resources of other agencies such as the local and regional chambers of commerce, Nebraska VR, Nebraska Department of Labor, Nebraska Department of Economic Development, etc. </w:t>
      </w:r>
    </w:p>
    <w:p w14:paraId="085C72CB" w14:textId="77777777" w:rsidR="00BE4610" w:rsidRDefault="00EF751A">
      <w:pPr>
        <w:numPr>
          <w:ilvl w:val="0"/>
          <w:numId w:val="6"/>
        </w:numPr>
        <w:ind w:hanging="360"/>
      </w:pPr>
      <w:r>
        <w:t>Develop and maintain a community personnel res</w:t>
      </w:r>
      <w:r>
        <w:t xml:space="preserve">ource file.  </w:t>
      </w:r>
    </w:p>
    <w:p w14:paraId="5DAC827A" w14:textId="77777777" w:rsidR="00BE4610" w:rsidRDefault="00EF751A">
      <w:pPr>
        <w:numPr>
          <w:ilvl w:val="0"/>
          <w:numId w:val="6"/>
        </w:numPr>
        <w:ind w:hanging="360"/>
      </w:pPr>
      <w:r>
        <w:t xml:space="preserve">Represent work-based learning as a guest speaker at community and service clubs and organizations.  </w:t>
      </w:r>
    </w:p>
    <w:p w14:paraId="3E166D05" w14:textId="77777777" w:rsidR="00BE4610" w:rsidRDefault="00EF751A">
      <w:pPr>
        <w:numPr>
          <w:ilvl w:val="0"/>
          <w:numId w:val="6"/>
        </w:numPr>
        <w:ind w:hanging="360"/>
      </w:pPr>
      <w:r>
        <w:t xml:space="preserve">Publicize meetings and activities of student organizations.  </w:t>
      </w:r>
    </w:p>
    <w:p w14:paraId="7D612577" w14:textId="77777777" w:rsidR="00BE4610" w:rsidRDefault="00EF751A">
      <w:pPr>
        <w:numPr>
          <w:ilvl w:val="0"/>
          <w:numId w:val="6"/>
        </w:numPr>
        <w:ind w:hanging="360"/>
      </w:pPr>
      <w:r>
        <w:t xml:space="preserve">Maintain good communication and public relations.  </w:t>
      </w:r>
    </w:p>
    <w:p w14:paraId="12E73F78" w14:textId="77777777" w:rsidR="00BE4610" w:rsidRDefault="00EF751A">
      <w:pPr>
        <w:numPr>
          <w:ilvl w:val="0"/>
          <w:numId w:val="6"/>
        </w:numPr>
        <w:spacing w:after="1627"/>
        <w:ind w:hanging="360"/>
      </w:pPr>
      <w:r>
        <w:t>Seek evaluation from the pu</w:t>
      </w:r>
      <w:r>
        <w:t xml:space="preserve">blic.  </w:t>
      </w:r>
    </w:p>
    <w:p w14:paraId="4C7A8E2C" w14:textId="77777777" w:rsidR="00BE4610" w:rsidRDefault="00EF751A">
      <w:pPr>
        <w:tabs>
          <w:tab w:val="center" w:pos="4682"/>
          <w:tab w:val="center" w:pos="8770"/>
        </w:tabs>
        <w:spacing w:after="19" w:line="259" w:lineRule="auto"/>
        <w:ind w:left="-15" w:firstLine="0"/>
      </w:pPr>
      <w:r>
        <w:rPr>
          <w:rFonts w:ascii="Calibri" w:eastAsia="Calibri" w:hAnsi="Calibri" w:cs="Calibri"/>
          <w:color w:val="767171"/>
          <w:sz w:val="18"/>
        </w:rPr>
        <w:t xml:space="preserve">Role and Function of a WBL Coordinator  </w:t>
      </w:r>
      <w:r>
        <w:rPr>
          <w:rFonts w:ascii="Calibri" w:eastAsia="Calibri" w:hAnsi="Calibri" w:cs="Calibri"/>
          <w:color w:val="767171"/>
          <w:sz w:val="18"/>
        </w:rPr>
        <w:tab/>
        <w:t>page 2 of 2</w:t>
      </w:r>
      <w:r>
        <w:rPr>
          <w:rFonts w:ascii="Calibri" w:eastAsia="Calibri" w:hAnsi="Calibri" w:cs="Calibri"/>
          <w:b/>
          <w:color w:val="767171"/>
          <w:sz w:val="18"/>
        </w:rPr>
        <w:t xml:space="preserve"> </w:t>
      </w:r>
      <w:r>
        <w:rPr>
          <w:rFonts w:ascii="Calibri" w:eastAsia="Calibri" w:hAnsi="Calibri" w:cs="Calibri"/>
          <w:b/>
          <w:color w:val="767171"/>
          <w:sz w:val="18"/>
        </w:rPr>
        <w:tab/>
      </w:r>
      <w:r>
        <w:rPr>
          <w:rFonts w:ascii="Calibri" w:eastAsia="Calibri" w:hAnsi="Calibri" w:cs="Calibri"/>
          <w:color w:val="767171"/>
          <w:sz w:val="18"/>
        </w:rPr>
        <w:t xml:space="preserve">updated 8/2020 </w:t>
      </w:r>
    </w:p>
    <w:p w14:paraId="14AD14F0" w14:textId="77777777" w:rsidR="00BE4610" w:rsidRDefault="00EF751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BE4610" w:rsidSect="00EF751A">
      <w:pgSz w:w="12240" w:h="15840"/>
      <w:pgMar w:top="810" w:right="1024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AD2"/>
    <w:multiLevelType w:val="hybridMultilevel"/>
    <w:tmpl w:val="F918B52C"/>
    <w:lvl w:ilvl="0" w:tplc="F86832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09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6B1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49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26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63F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A1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AE5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660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63A60"/>
    <w:multiLevelType w:val="hybridMultilevel"/>
    <w:tmpl w:val="4A00602E"/>
    <w:lvl w:ilvl="0" w:tplc="20EA14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C2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259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EA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4F3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2E9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40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823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66B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9759C"/>
    <w:multiLevelType w:val="hybridMultilevel"/>
    <w:tmpl w:val="675C9908"/>
    <w:lvl w:ilvl="0" w:tplc="574EE1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665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AC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606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E6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26E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6AA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8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414812"/>
    <w:multiLevelType w:val="hybridMultilevel"/>
    <w:tmpl w:val="3034AAFA"/>
    <w:lvl w:ilvl="0" w:tplc="ECB6B0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2B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8A6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664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EB5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80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28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C3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630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062F8"/>
    <w:multiLevelType w:val="hybridMultilevel"/>
    <w:tmpl w:val="44BA0784"/>
    <w:lvl w:ilvl="0" w:tplc="8C726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E0E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640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615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E8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061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CD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4E3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8E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A1E71"/>
    <w:multiLevelType w:val="hybridMultilevel"/>
    <w:tmpl w:val="398C3B50"/>
    <w:lvl w:ilvl="0" w:tplc="FF02A4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CF3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04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C11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E53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085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845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2E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46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0"/>
    <w:rsid w:val="00BE4610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DB69"/>
  <w15:docId w15:val="{FC71DB4B-2172-441E-A2D4-A56763C0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4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10" w:hanging="10"/>
      <w:outlineLvl w:val="0"/>
    </w:pPr>
    <w:rPr>
      <w:rFonts w:ascii="Century Gothic" w:eastAsia="Century Gothic" w:hAnsi="Century Gothic" w:cs="Century Gothic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education.ne.gov/wp-content/uploads/2020/08/WBLSupplemental-Endorsement-Updated-08_20.pdf" TargetMode="External"/><Relationship Id="rId13" Type="http://schemas.openxmlformats.org/officeDocument/2006/relationships/hyperlink" Target="https://www.education.ne.gov/nce/career-technical-student-organizations-ct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education.ne.gov/wp-content/uploads/2020/08/WBLSupplemental-Endorsement-Updated-08_20.pdf" TargetMode="External"/><Relationship Id="rId12" Type="http://schemas.openxmlformats.org/officeDocument/2006/relationships/hyperlink" Target="https://www.education.ne.gov/nce/career-technical-student-organizations-cts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dn.education.ne.gov/wp-content/uploads/2020/08/WBLSupplemental-Endorsement-Updated-08_20.pdf" TargetMode="External"/><Relationship Id="rId11" Type="http://schemas.openxmlformats.org/officeDocument/2006/relationships/hyperlink" Target="https://www.education.ne.gov/nce/career-technical-student-organizations-ctsos/" TargetMode="External"/><Relationship Id="rId5" Type="http://schemas.openxmlformats.org/officeDocument/2006/relationships/hyperlink" Target="https://cdn.education.ne.gov/wp-content/uploads/2020/08/WBLSupplemental-Endorsement-Updated-08_20.pdf" TargetMode="External"/><Relationship Id="rId15" Type="http://schemas.openxmlformats.org/officeDocument/2006/relationships/hyperlink" Target="https://www.education.ne.gov/nce/career-technical-student-organizations-ctsos/" TargetMode="External"/><Relationship Id="rId10" Type="http://schemas.openxmlformats.org/officeDocument/2006/relationships/hyperlink" Target="https://cdn.education.ne.gov/wp-content/uploads/2020/08/WBLSupplemental-Endorsement-Updated-08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education.ne.gov/wp-content/uploads/2020/08/WBLSupplemental-Endorsement-Updated-08_20.pdf" TargetMode="External"/><Relationship Id="rId14" Type="http://schemas.openxmlformats.org/officeDocument/2006/relationships/hyperlink" Target="https://www.education.ne.gov/nce/career-technical-student-organizations-cts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Marzouk, Therese</dc:creator>
  <cp:keywords/>
  <cp:lastModifiedBy>Al Akam, Dalya</cp:lastModifiedBy>
  <cp:revision>2</cp:revision>
  <dcterms:created xsi:type="dcterms:W3CDTF">2021-02-10T21:27:00Z</dcterms:created>
  <dcterms:modified xsi:type="dcterms:W3CDTF">2021-02-10T21:27:00Z</dcterms:modified>
</cp:coreProperties>
</file>