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B926" w14:textId="0DBA6052" w:rsidR="00E27D68" w:rsidRDefault="00E27D68" w:rsidP="00E27D68">
      <w:pPr>
        <w:ind w:left="-187" w:right="-360"/>
        <w:jc w:val="center"/>
        <w:rPr>
          <w:rFonts w:cs="Arial"/>
          <w:b/>
          <w:sz w:val="48"/>
          <w:szCs w:val="36"/>
        </w:rPr>
      </w:pPr>
      <w:r>
        <w:rPr>
          <w:rFonts w:cs="Arial"/>
          <w:b/>
          <w:noProof/>
          <w:sz w:val="48"/>
          <w:szCs w:val="36"/>
        </w:rPr>
        <w:drawing>
          <wp:anchor distT="0" distB="0" distL="114300" distR="114300" simplePos="0" relativeHeight="251658240" behindDoc="1" locked="0" layoutInCell="1" allowOverlap="1" wp14:anchorId="0389C8E1" wp14:editId="01544F25">
            <wp:simplePos x="0" y="0"/>
            <wp:positionH relativeFrom="column">
              <wp:posOffset>33655</wp:posOffset>
            </wp:positionH>
            <wp:positionV relativeFrom="paragraph">
              <wp:posOffset>0</wp:posOffset>
            </wp:positionV>
            <wp:extent cx="1202055" cy="802005"/>
            <wp:effectExtent l="0" t="0" r="0" b="0"/>
            <wp:wrapTight wrapText="bothSides">
              <wp:wrapPolygon edited="0">
                <wp:start x="8558" y="1026"/>
                <wp:lineTo x="1712" y="3078"/>
                <wp:lineTo x="342" y="4105"/>
                <wp:lineTo x="342" y="12314"/>
                <wp:lineTo x="5477" y="18470"/>
                <wp:lineTo x="8900" y="20523"/>
                <wp:lineTo x="12666" y="20523"/>
                <wp:lineTo x="19512" y="18470"/>
                <wp:lineTo x="20881" y="16418"/>
                <wp:lineTo x="19512" y="10261"/>
                <wp:lineTo x="19854" y="8209"/>
                <wp:lineTo x="17458" y="5131"/>
                <wp:lineTo x="13008" y="1026"/>
                <wp:lineTo x="8558" y="1026"/>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grant-Education-LogoFINAL-01-6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055" cy="802005"/>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48"/>
          <w:szCs w:val="36"/>
        </w:rPr>
        <w:t>Nebraska</w:t>
      </w:r>
      <w:r w:rsidRPr="004B6EF1">
        <w:rPr>
          <w:rFonts w:cs="Arial"/>
          <w:b/>
          <w:sz w:val="48"/>
          <w:szCs w:val="36"/>
        </w:rPr>
        <w:t xml:space="preserve"> Migrant Education Program (MEP)</w:t>
      </w:r>
    </w:p>
    <w:p w14:paraId="2D429D47" w14:textId="014FDEEA" w:rsidR="00E27D68" w:rsidRPr="004B6EF1" w:rsidRDefault="00F625E6" w:rsidP="00E27D68">
      <w:pPr>
        <w:ind w:left="-187" w:right="-360"/>
        <w:jc w:val="center"/>
        <w:rPr>
          <w:rFonts w:cs="Arial"/>
          <w:b/>
          <w:sz w:val="48"/>
          <w:szCs w:val="36"/>
        </w:rPr>
      </w:pPr>
      <w:r>
        <w:rPr>
          <w:rFonts w:cs="Arial"/>
          <w:b/>
          <w:sz w:val="48"/>
          <w:szCs w:val="36"/>
        </w:rPr>
        <w:t>202</w:t>
      </w:r>
      <w:r w:rsidR="00D14DD7">
        <w:rPr>
          <w:rFonts w:cs="Arial"/>
          <w:b/>
          <w:sz w:val="48"/>
          <w:szCs w:val="36"/>
        </w:rPr>
        <w:t>1</w:t>
      </w:r>
      <w:r>
        <w:rPr>
          <w:rFonts w:cs="Arial"/>
          <w:b/>
          <w:sz w:val="48"/>
          <w:szCs w:val="36"/>
        </w:rPr>
        <w:t>-2</w:t>
      </w:r>
      <w:r w:rsidR="00D14DD7">
        <w:rPr>
          <w:rFonts w:cs="Arial"/>
          <w:b/>
          <w:sz w:val="48"/>
          <w:szCs w:val="36"/>
        </w:rPr>
        <w:t>2</w:t>
      </w:r>
      <w:r w:rsidR="00E27D68">
        <w:rPr>
          <w:rFonts w:cs="Arial"/>
          <w:b/>
          <w:sz w:val="48"/>
          <w:szCs w:val="36"/>
        </w:rPr>
        <w:t xml:space="preserve"> CNA/SDP/Evaluation </w:t>
      </w:r>
      <w:r w:rsidR="00E27D68" w:rsidRPr="004B6EF1">
        <w:rPr>
          <w:rFonts w:cs="Arial"/>
          <w:b/>
          <w:sz w:val="48"/>
          <w:szCs w:val="36"/>
        </w:rPr>
        <w:t>Alignment Chart</w:t>
      </w:r>
    </w:p>
    <w:p w14:paraId="6F9888A7" w14:textId="77777777" w:rsidR="00E27D68" w:rsidRDefault="00E27D68" w:rsidP="00E27D68">
      <w:pPr>
        <w:pStyle w:val="Heading2"/>
        <w:spacing w:before="0"/>
      </w:pPr>
    </w:p>
    <w:p w14:paraId="49BF6308" w14:textId="77777777" w:rsidR="00E27D68" w:rsidRPr="000B00F4" w:rsidRDefault="00E27D68" w:rsidP="00E27D68">
      <w:pPr>
        <w:pStyle w:val="Heading2"/>
        <w:spacing w:before="0"/>
        <w:rPr>
          <w:rFonts w:ascii="Arial Black" w:hAnsi="Arial Black"/>
          <w:i w:val="0"/>
          <w:color w:val="385623" w:themeColor="accent6" w:themeShade="80"/>
          <w:sz w:val="24"/>
        </w:rPr>
      </w:pPr>
      <w:r w:rsidRPr="000B00F4">
        <w:rPr>
          <w:rFonts w:ascii="Arial Black" w:hAnsi="Arial Black"/>
          <w:i w:val="0"/>
          <w:color w:val="385623" w:themeColor="accent6" w:themeShade="80"/>
          <w:sz w:val="24"/>
        </w:rPr>
        <w:t>GOAL AREA #1: SCHOOL READINESS</w:t>
      </w:r>
    </w:p>
    <w:p w14:paraId="4E470731" w14:textId="77777777" w:rsidR="00E27D68" w:rsidRPr="006130E7" w:rsidRDefault="00E27D68" w:rsidP="00E27D68">
      <w:pPr>
        <w:pStyle w:val="BodyText"/>
        <w:spacing w:before="120" w:after="0"/>
        <w:rPr>
          <w:rFonts w:asciiTheme="minorHAnsi" w:hAnsiTheme="minorHAnsi"/>
          <w:szCs w:val="20"/>
        </w:rPr>
      </w:pPr>
      <w:r w:rsidRPr="006130E7">
        <w:rPr>
          <w:rFonts w:asciiTheme="minorHAnsi" w:hAnsiTheme="minorHAnsi"/>
          <w:b/>
          <w:szCs w:val="20"/>
          <w:u w:val="single"/>
        </w:rPr>
        <w:t>State Performance Target</w:t>
      </w:r>
      <w:r w:rsidRPr="006130E7">
        <w:rPr>
          <w:rFonts w:asciiTheme="minorHAnsi" w:hAnsiTheme="minorHAnsi"/>
          <w:b/>
          <w:szCs w:val="20"/>
        </w:rPr>
        <w:t xml:space="preserve">: </w:t>
      </w:r>
      <w:r w:rsidRPr="006130E7">
        <w:rPr>
          <w:rFonts w:asciiTheme="minorHAnsi" w:hAnsiTheme="minorHAnsi"/>
          <w:szCs w:val="20"/>
        </w:rPr>
        <w:t>No state performance target for school readiness at this time.</w:t>
      </w:r>
    </w:p>
    <w:p w14:paraId="15EBC21D" w14:textId="77777777" w:rsidR="00E27D68" w:rsidRPr="006130E7" w:rsidRDefault="00E27D68" w:rsidP="00E27D68">
      <w:pPr>
        <w:pStyle w:val="BodyText"/>
        <w:spacing w:before="120"/>
        <w:rPr>
          <w:rFonts w:asciiTheme="minorHAnsi" w:hAnsiTheme="minorHAnsi"/>
          <w:szCs w:val="20"/>
        </w:rPr>
      </w:pPr>
      <w:r w:rsidRPr="006130E7">
        <w:rPr>
          <w:rFonts w:asciiTheme="minorHAnsi" w:hAnsiTheme="minorHAnsi"/>
          <w:b/>
          <w:szCs w:val="20"/>
          <w:u w:val="single"/>
        </w:rPr>
        <w:t>Concern Statement</w:t>
      </w:r>
      <w:r w:rsidRPr="006130E7">
        <w:rPr>
          <w:rFonts w:asciiTheme="minorHAnsi" w:hAnsiTheme="minorHAnsi"/>
          <w:b/>
          <w:szCs w:val="20"/>
        </w:rPr>
        <w:t xml:space="preserve">: </w:t>
      </w:r>
      <w:r w:rsidRPr="006130E7">
        <w:rPr>
          <w:rFonts w:asciiTheme="minorHAnsi" w:hAnsiTheme="minorHAnsi"/>
          <w:szCs w:val="20"/>
        </w:rPr>
        <w:t>We are concerned that migratory preschoolers, especially English learners, do not have access to free, quality early childhood programs, and therefore do not have the school readiness skills to be prepared for kindergarten.</w:t>
      </w:r>
    </w:p>
    <w:p w14:paraId="108287D0" w14:textId="66B4EBF7" w:rsidR="00E27D68" w:rsidRPr="006130E7" w:rsidRDefault="00E27D68" w:rsidP="00E27D68">
      <w:pPr>
        <w:pStyle w:val="BodyText"/>
        <w:spacing w:after="0"/>
        <w:rPr>
          <w:rFonts w:asciiTheme="minorHAnsi" w:hAnsiTheme="minorHAnsi"/>
          <w:sz w:val="28"/>
          <w:szCs w:val="20"/>
        </w:rPr>
      </w:pPr>
      <w:r w:rsidRPr="006130E7">
        <w:rPr>
          <w:rFonts w:asciiTheme="minorHAnsi" w:hAnsiTheme="minorHAnsi"/>
          <w:b/>
          <w:szCs w:val="20"/>
          <w:u w:val="single"/>
        </w:rPr>
        <w:t>Data Summary</w:t>
      </w:r>
      <w:r w:rsidRPr="006130E7">
        <w:rPr>
          <w:rFonts w:asciiTheme="minorHAnsi" w:hAnsiTheme="minorHAnsi"/>
          <w:b/>
          <w:szCs w:val="20"/>
        </w:rPr>
        <w:t xml:space="preserve">: </w:t>
      </w:r>
      <w:r w:rsidRPr="006130E7">
        <w:rPr>
          <w:rFonts w:asciiTheme="minorHAnsi" w:hAnsiTheme="minorHAnsi"/>
          <w:szCs w:val="20"/>
        </w:rPr>
        <w:t>In 201</w:t>
      </w:r>
      <w:r w:rsidR="000B00F4">
        <w:rPr>
          <w:rFonts w:asciiTheme="minorHAnsi" w:hAnsiTheme="minorHAnsi"/>
          <w:szCs w:val="20"/>
        </w:rPr>
        <w:t>8</w:t>
      </w:r>
      <w:r w:rsidRPr="006130E7">
        <w:rPr>
          <w:rFonts w:asciiTheme="minorHAnsi" w:hAnsiTheme="minorHAnsi"/>
          <w:szCs w:val="20"/>
        </w:rPr>
        <w:t>-1</w:t>
      </w:r>
      <w:r w:rsidR="000B00F4">
        <w:rPr>
          <w:rFonts w:asciiTheme="minorHAnsi" w:hAnsiTheme="minorHAnsi"/>
          <w:szCs w:val="20"/>
        </w:rPr>
        <w:t>9</w:t>
      </w:r>
      <w:r w:rsidRPr="006130E7">
        <w:rPr>
          <w:rFonts w:asciiTheme="minorHAnsi" w:hAnsiTheme="minorHAnsi"/>
          <w:szCs w:val="20"/>
        </w:rPr>
        <w:t>, 4</w:t>
      </w:r>
      <w:r w:rsidR="000B00F4">
        <w:rPr>
          <w:rFonts w:asciiTheme="minorHAnsi" w:hAnsiTheme="minorHAnsi"/>
          <w:szCs w:val="20"/>
        </w:rPr>
        <w:t>8</w:t>
      </w:r>
      <w:r w:rsidRPr="006130E7">
        <w:rPr>
          <w:rFonts w:asciiTheme="minorHAnsi" w:hAnsiTheme="minorHAnsi"/>
          <w:szCs w:val="20"/>
        </w:rPr>
        <w:t>% of</w:t>
      </w:r>
      <w:r w:rsidRPr="006130E7">
        <w:rPr>
          <w:rFonts w:asciiTheme="minorHAnsi" w:hAnsiTheme="minorHAnsi"/>
          <w:b/>
          <w:szCs w:val="20"/>
        </w:rPr>
        <w:t xml:space="preserve"> </w:t>
      </w:r>
      <w:r w:rsidRPr="006130E7">
        <w:rPr>
          <w:rFonts w:asciiTheme="minorHAnsi" w:hAnsiTheme="minorHAnsi"/>
          <w:szCs w:val="20"/>
        </w:rPr>
        <w:t>migratory children ages 3-5 participated in a preschool program (MEP or non-MEP funded).</w:t>
      </w:r>
    </w:p>
    <w:p w14:paraId="7AA0EFA8" w14:textId="77777777" w:rsidR="00E27D68" w:rsidRPr="006130E7" w:rsidRDefault="00E27D68" w:rsidP="00E27D68">
      <w:pPr>
        <w:pStyle w:val="BodyText"/>
        <w:spacing w:before="120" w:after="0"/>
        <w:rPr>
          <w:rFonts w:asciiTheme="minorHAnsi" w:hAnsiTheme="minorHAnsi"/>
          <w:szCs w:val="20"/>
        </w:rPr>
      </w:pPr>
      <w:r w:rsidRPr="006130E7">
        <w:rPr>
          <w:rFonts w:asciiTheme="minorHAnsi" w:hAnsiTheme="minorHAnsi"/>
          <w:b/>
          <w:szCs w:val="20"/>
          <w:u w:val="single"/>
        </w:rPr>
        <w:t>Need Statement</w:t>
      </w:r>
      <w:r w:rsidRPr="006130E7">
        <w:rPr>
          <w:rFonts w:asciiTheme="minorHAnsi" w:hAnsiTheme="minorHAnsi"/>
          <w:b/>
          <w:szCs w:val="20"/>
        </w:rPr>
        <w:t>:</w:t>
      </w:r>
      <w:r w:rsidRPr="006130E7">
        <w:rPr>
          <w:rFonts w:asciiTheme="minorHAnsi" w:hAnsiTheme="minorHAnsi"/>
          <w:szCs w:val="20"/>
        </w:rPr>
        <w:t xml:space="preserve"> The percentage of migratory preschool children participating in preschool needs to increase, as does the percent of preschool children scoring proficient on school readiness assessments.</w:t>
      </w:r>
    </w:p>
    <w:p w14:paraId="0B16E99C" w14:textId="77777777" w:rsidR="00E27D68" w:rsidRPr="00E27D5B" w:rsidRDefault="00E27D68" w:rsidP="00E27D68">
      <w:pPr>
        <w:pStyle w:val="Default"/>
        <w:rPr>
          <w:rFonts w:asciiTheme="minorHAnsi" w:hAnsiTheme="minorHAnsi" w:cs="Arial"/>
          <w:sz w:val="20"/>
          <w:szCs w:val="20"/>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5"/>
        <w:gridCol w:w="3950"/>
        <w:gridCol w:w="2970"/>
        <w:gridCol w:w="2790"/>
      </w:tblGrid>
      <w:tr w:rsidR="00E27D68" w:rsidRPr="00E27D5B" w14:paraId="36092037" w14:textId="77777777" w:rsidTr="000B00F4">
        <w:trPr>
          <w:tblHeader/>
          <w:jc w:val="center"/>
        </w:trPr>
        <w:tc>
          <w:tcPr>
            <w:tcW w:w="3695" w:type="dxa"/>
            <w:shd w:val="clear" w:color="auto" w:fill="538135" w:themeFill="accent6" w:themeFillShade="BF"/>
            <w:vAlign w:val="bottom"/>
          </w:tcPr>
          <w:p w14:paraId="090CB69B" w14:textId="77777777" w:rsidR="00E27D68" w:rsidRPr="00103F68" w:rsidRDefault="00E27D68" w:rsidP="002071F3">
            <w:pPr>
              <w:jc w:val="center"/>
              <w:rPr>
                <w:rFonts w:asciiTheme="minorHAnsi" w:hAnsiTheme="minorHAnsi" w:cs="Arial"/>
                <w:b/>
                <w:color w:val="FFFFFF" w:themeColor="background1"/>
                <w:szCs w:val="18"/>
              </w:rPr>
            </w:pPr>
            <w:r>
              <w:rPr>
                <w:rFonts w:asciiTheme="minorHAnsi" w:hAnsiTheme="minorHAnsi" w:cs="Arial"/>
                <w:b/>
                <w:color w:val="FFFFFF" w:themeColor="background1"/>
                <w:szCs w:val="18"/>
              </w:rPr>
              <w:t>Strategies</w:t>
            </w:r>
          </w:p>
        </w:tc>
        <w:tc>
          <w:tcPr>
            <w:tcW w:w="3950" w:type="dxa"/>
            <w:shd w:val="clear" w:color="auto" w:fill="538135" w:themeFill="accent6" w:themeFillShade="BF"/>
            <w:vAlign w:val="bottom"/>
          </w:tcPr>
          <w:p w14:paraId="47C5FCE0" w14:textId="77777777" w:rsidR="00E27D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Measurable Program</w:t>
            </w:r>
          </w:p>
          <w:p w14:paraId="1182E96E" w14:textId="77777777" w:rsidR="00E27D68" w:rsidRPr="00103F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 xml:space="preserve"> Outcomes (MPOs)</w:t>
            </w:r>
          </w:p>
        </w:tc>
        <w:tc>
          <w:tcPr>
            <w:tcW w:w="2970" w:type="dxa"/>
            <w:shd w:val="clear" w:color="auto" w:fill="538135" w:themeFill="accent6" w:themeFillShade="BF"/>
            <w:vAlign w:val="bottom"/>
          </w:tcPr>
          <w:p w14:paraId="6641E272" w14:textId="77777777" w:rsidR="00E27D68" w:rsidRPr="00103F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Evaluation Questions for</w:t>
            </w:r>
          </w:p>
          <w:p w14:paraId="0899262E" w14:textId="77777777" w:rsidR="00E27D68" w:rsidRPr="00103F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Program Results</w:t>
            </w:r>
          </w:p>
        </w:tc>
        <w:tc>
          <w:tcPr>
            <w:tcW w:w="2790" w:type="dxa"/>
            <w:shd w:val="clear" w:color="auto" w:fill="538135" w:themeFill="accent6" w:themeFillShade="BF"/>
            <w:vAlign w:val="bottom"/>
          </w:tcPr>
          <w:p w14:paraId="765A625D" w14:textId="77777777" w:rsidR="00E27D68" w:rsidRPr="00103F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Evaluation Questions for</w:t>
            </w:r>
          </w:p>
          <w:p w14:paraId="047C77B5" w14:textId="77777777" w:rsidR="00E27D68" w:rsidRPr="00103F68" w:rsidRDefault="00E27D68" w:rsidP="002071F3">
            <w:pPr>
              <w:jc w:val="center"/>
              <w:rPr>
                <w:rFonts w:asciiTheme="minorHAnsi" w:hAnsiTheme="minorHAnsi" w:cs="Arial"/>
                <w:b/>
                <w:color w:val="FFFFFF" w:themeColor="background1"/>
                <w:szCs w:val="18"/>
              </w:rPr>
            </w:pPr>
            <w:r w:rsidRPr="00103F68">
              <w:rPr>
                <w:rFonts w:asciiTheme="minorHAnsi" w:hAnsiTheme="minorHAnsi" w:cs="Arial"/>
                <w:b/>
                <w:color w:val="FFFFFF" w:themeColor="background1"/>
                <w:szCs w:val="18"/>
              </w:rPr>
              <w:t>Program Implementation</w:t>
            </w:r>
          </w:p>
        </w:tc>
      </w:tr>
      <w:tr w:rsidR="00E27D68" w:rsidRPr="00E27D5B" w14:paraId="1A608114" w14:textId="77777777" w:rsidTr="002071F3">
        <w:trPr>
          <w:jc w:val="center"/>
        </w:trPr>
        <w:tc>
          <w:tcPr>
            <w:tcW w:w="3695" w:type="dxa"/>
            <w:vMerge w:val="restart"/>
          </w:tcPr>
          <w:p w14:paraId="1725A012" w14:textId="77777777" w:rsidR="00E27D68" w:rsidRPr="00103F68" w:rsidRDefault="00E27D68" w:rsidP="002071F3">
            <w:pPr>
              <w:pStyle w:val="TableParagraph"/>
              <w:rPr>
                <w:rFonts w:eastAsia="Calibri Light" w:cs="Calibri Light"/>
              </w:rPr>
            </w:pPr>
            <w:r w:rsidRPr="00103F68">
              <w:rPr>
                <w:rFonts w:eastAsia="Calibri Light" w:cstheme="minorHAnsi"/>
                <w:b/>
                <w:szCs w:val="24"/>
                <w:u w:val="single"/>
              </w:rPr>
              <w:t>Strategy 1.1</w:t>
            </w:r>
            <w:r w:rsidRPr="00103F68">
              <w:rPr>
                <w:rFonts w:eastAsia="Calibri Light" w:cstheme="minorHAnsi"/>
                <w:szCs w:val="24"/>
              </w:rPr>
              <w:t xml:space="preserve">: </w:t>
            </w:r>
            <w:r w:rsidRPr="00103F68">
              <w:rPr>
                <w:rFonts w:eastAsia="Calibri Light" w:cs="Calibri Light"/>
              </w:rPr>
              <w:t xml:space="preserve">Coordinate/provide </w:t>
            </w:r>
            <w:r w:rsidRPr="00D62930">
              <w:rPr>
                <w:rFonts w:eastAsia="Calibri Light" w:cs="Calibri Light"/>
                <w:b/>
                <w:bCs/>
              </w:rPr>
              <w:t>instructional services</w:t>
            </w:r>
            <w:r w:rsidRPr="00103F68">
              <w:rPr>
                <w:rFonts w:eastAsia="Calibri Light" w:cs="Calibri Light"/>
              </w:rPr>
              <w:t xml:space="preserve"> for children ages 3-5 (not in kindergarten) to increase their school readiness skills (e.g., preschool programs, family literacy classes, home-/center-based services, summer programming).</w:t>
            </w:r>
          </w:p>
        </w:tc>
        <w:tc>
          <w:tcPr>
            <w:tcW w:w="3950" w:type="dxa"/>
            <w:tcBorders>
              <w:bottom w:val="nil"/>
            </w:tcBorders>
            <w:shd w:val="clear" w:color="auto" w:fill="auto"/>
          </w:tcPr>
          <w:p w14:paraId="197A8DF6" w14:textId="6C130A7E" w:rsidR="00E27D68" w:rsidRPr="00103F68" w:rsidRDefault="00E27D68" w:rsidP="002071F3">
            <w:pPr>
              <w:rPr>
                <w:rFonts w:asciiTheme="minorHAnsi" w:hAnsiTheme="minorHAnsi" w:cs="Arial"/>
                <w:bCs/>
                <w:szCs w:val="18"/>
              </w:rPr>
            </w:pPr>
            <w:r w:rsidRPr="00103F68">
              <w:rPr>
                <w:rFonts w:asciiTheme="minorHAnsi" w:hAnsiTheme="minorHAnsi" w:cs="Arial"/>
                <w:b/>
                <w:bCs/>
                <w:szCs w:val="18"/>
              </w:rPr>
              <w:t>1a)</w:t>
            </w:r>
            <w:r w:rsidRPr="00103F68">
              <w:rPr>
                <w:rFonts w:asciiTheme="minorHAnsi" w:hAnsiTheme="minorHAnsi" w:cs="Arial"/>
                <w:bCs/>
                <w:szCs w:val="18"/>
              </w:rPr>
              <w:t xml:space="preserve"> By the end of the </w:t>
            </w:r>
            <w:r w:rsidR="00D14DD7">
              <w:rPr>
                <w:rFonts w:asciiTheme="minorHAnsi" w:hAnsiTheme="minorHAnsi" w:cs="Arial"/>
                <w:bCs/>
                <w:szCs w:val="18"/>
              </w:rPr>
              <w:t>2021-22</w:t>
            </w:r>
            <w:r w:rsidRPr="00103F68">
              <w:rPr>
                <w:rFonts w:asciiTheme="minorHAnsi" w:hAnsiTheme="minorHAnsi" w:cs="Arial"/>
                <w:bCs/>
                <w:szCs w:val="18"/>
              </w:rPr>
              <w:t xml:space="preserve"> performance period, 45% of eligible </w:t>
            </w:r>
            <w:r>
              <w:rPr>
                <w:rFonts w:asciiTheme="minorHAnsi" w:hAnsiTheme="minorHAnsi" w:cs="Arial"/>
                <w:bCs/>
                <w:szCs w:val="18"/>
              </w:rPr>
              <w:t>migratory</w:t>
            </w:r>
            <w:r w:rsidRPr="00103F68">
              <w:rPr>
                <w:rFonts w:asciiTheme="minorHAnsi" w:hAnsiTheme="minorHAnsi" w:cs="Arial"/>
                <w:bCs/>
                <w:szCs w:val="18"/>
              </w:rPr>
              <w:t xml:space="preserve"> children ages 3-5 (not in kindergarten) will attend preschool or receive MEP-funded preschool services.</w:t>
            </w:r>
          </w:p>
          <w:p w14:paraId="0DA4CB6B" w14:textId="77777777" w:rsidR="00E27D68" w:rsidRPr="00103F68" w:rsidRDefault="00E27D68" w:rsidP="002071F3">
            <w:pPr>
              <w:rPr>
                <w:rFonts w:asciiTheme="minorHAnsi" w:hAnsiTheme="minorHAnsi" w:cs="Arial"/>
                <w:bCs/>
                <w:szCs w:val="18"/>
              </w:rPr>
            </w:pPr>
          </w:p>
        </w:tc>
        <w:tc>
          <w:tcPr>
            <w:tcW w:w="2970" w:type="dxa"/>
            <w:shd w:val="clear" w:color="auto" w:fill="auto"/>
          </w:tcPr>
          <w:p w14:paraId="061C926E" w14:textId="77777777" w:rsidR="00E27D68" w:rsidRPr="00103F68" w:rsidRDefault="00E27D68" w:rsidP="002071F3">
            <w:pPr>
              <w:ind w:hanging="27"/>
              <w:rPr>
                <w:rFonts w:asciiTheme="minorHAnsi" w:hAnsiTheme="minorHAnsi" w:cs="Arial"/>
                <w:szCs w:val="18"/>
              </w:rPr>
            </w:pPr>
            <w:r w:rsidRPr="00103F68">
              <w:rPr>
                <w:rFonts w:asciiTheme="minorHAnsi" w:hAnsiTheme="minorHAnsi" w:cs="Arial"/>
                <w:szCs w:val="18"/>
              </w:rPr>
              <w:t xml:space="preserve">What percentage of preschool </w:t>
            </w:r>
            <w:r>
              <w:rPr>
                <w:rFonts w:asciiTheme="minorHAnsi" w:hAnsiTheme="minorHAnsi" w:cs="Arial"/>
                <w:szCs w:val="18"/>
              </w:rPr>
              <w:t>migratory</w:t>
            </w:r>
            <w:r w:rsidRPr="00103F68">
              <w:rPr>
                <w:rFonts w:asciiTheme="minorHAnsi" w:hAnsiTheme="minorHAnsi" w:cs="Arial"/>
                <w:szCs w:val="18"/>
              </w:rPr>
              <w:t xml:space="preserve"> children (PFS &amp; non-PFS) participated in preschool programming (migrant and non-migrant funded)?</w:t>
            </w:r>
          </w:p>
        </w:tc>
        <w:tc>
          <w:tcPr>
            <w:tcW w:w="2790" w:type="dxa"/>
            <w:shd w:val="clear" w:color="auto" w:fill="auto"/>
          </w:tcPr>
          <w:p w14:paraId="112A2F2D" w14:textId="77777777" w:rsidR="00E27D68" w:rsidRPr="00103F68" w:rsidRDefault="00E27D68" w:rsidP="002071F3">
            <w:pPr>
              <w:ind w:hanging="27"/>
              <w:rPr>
                <w:rFonts w:asciiTheme="minorHAnsi" w:hAnsiTheme="minorHAnsi" w:cs="Arial"/>
                <w:szCs w:val="18"/>
              </w:rPr>
            </w:pPr>
            <w:r w:rsidRPr="00103F68">
              <w:rPr>
                <w:rFonts w:asciiTheme="minorHAnsi" w:hAnsiTheme="minorHAnsi" w:cs="Arial"/>
                <w:szCs w:val="18"/>
              </w:rPr>
              <w:t xml:space="preserve">How many 3-5-year-old </w:t>
            </w:r>
            <w:r>
              <w:rPr>
                <w:rFonts w:asciiTheme="minorHAnsi" w:hAnsiTheme="minorHAnsi" w:cs="Arial"/>
                <w:szCs w:val="18"/>
              </w:rPr>
              <w:t>migratory</w:t>
            </w:r>
            <w:r w:rsidRPr="00103F68">
              <w:rPr>
                <w:rFonts w:asciiTheme="minorHAnsi" w:hAnsiTheme="minorHAnsi" w:cs="Arial"/>
                <w:szCs w:val="18"/>
              </w:rPr>
              <w:t xml:space="preserve"> children participated in preschool programming?</w:t>
            </w:r>
          </w:p>
        </w:tc>
      </w:tr>
      <w:tr w:rsidR="00E27D68" w:rsidRPr="00E27D5B" w14:paraId="64282743" w14:textId="77777777" w:rsidTr="002071F3">
        <w:trPr>
          <w:jc w:val="center"/>
        </w:trPr>
        <w:tc>
          <w:tcPr>
            <w:tcW w:w="3695" w:type="dxa"/>
            <w:vMerge/>
            <w:tcBorders>
              <w:bottom w:val="nil"/>
            </w:tcBorders>
          </w:tcPr>
          <w:p w14:paraId="0344AACB" w14:textId="77777777" w:rsidR="00E27D68" w:rsidRPr="00103F68" w:rsidRDefault="00E27D68" w:rsidP="002071F3">
            <w:pPr>
              <w:rPr>
                <w:rFonts w:asciiTheme="minorHAnsi" w:hAnsiTheme="minorHAnsi" w:cs="Arial"/>
                <w:b/>
                <w:bCs/>
                <w:szCs w:val="18"/>
              </w:rPr>
            </w:pPr>
          </w:p>
        </w:tc>
        <w:tc>
          <w:tcPr>
            <w:tcW w:w="3950" w:type="dxa"/>
            <w:shd w:val="clear" w:color="auto" w:fill="auto"/>
          </w:tcPr>
          <w:p w14:paraId="7C58EF01" w14:textId="7305B5F7" w:rsidR="00E27D68" w:rsidRPr="00103F68" w:rsidRDefault="00E27D68" w:rsidP="002071F3">
            <w:pPr>
              <w:rPr>
                <w:rFonts w:asciiTheme="minorHAnsi" w:hAnsiTheme="minorHAnsi" w:cs="Arial"/>
                <w:bCs/>
                <w:szCs w:val="18"/>
              </w:rPr>
            </w:pPr>
            <w:r w:rsidRPr="00103F68">
              <w:rPr>
                <w:rFonts w:asciiTheme="minorHAnsi" w:hAnsiTheme="minorHAnsi" w:cs="Arial"/>
                <w:b/>
                <w:bCs/>
                <w:szCs w:val="18"/>
              </w:rPr>
              <w:t>1b)</w:t>
            </w:r>
            <w:r w:rsidRPr="00103F68">
              <w:rPr>
                <w:rFonts w:asciiTheme="minorHAnsi" w:hAnsiTheme="minorHAnsi" w:cs="Arial"/>
                <w:bCs/>
                <w:szCs w:val="18"/>
              </w:rPr>
              <w:t xml:space="preserve"> By the end of the </w:t>
            </w:r>
            <w:r w:rsidR="00D14DD7">
              <w:rPr>
                <w:rFonts w:asciiTheme="minorHAnsi" w:hAnsiTheme="minorHAnsi" w:cs="Arial"/>
                <w:bCs/>
                <w:szCs w:val="18"/>
              </w:rPr>
              <w:t>2021-22</w:t>
            </w:r>
            <w:r w:rsidRPr="00103F68">
              <w:rPr>
                <w:rFonts w:asciiTheme="minorHAnsi" w:hAnsiTheme="minorHAnsi" w:cs="Arial"/>
                <w:bCs/>
                <w:szCs w:val="18"/>
              </w:rPr>
              <w:t xml:space="preserve"> performance period, 80% of eligible </w:t>
            </w:r>
            <w:r>
              <w:rPr>
                <w:rFonts w:asciiTheme="minorHAnsi" w:hAnsiTheme="minorHAnsi" w:cs="Arial"/>
                <w:bCs/>
                <w:szCs w:val="18"/>
              </w:rPr>
              <w:t>migratory</w:t>
            </w:r>
            <w:r w:rsidRPr="00103F68">
              <w:rPr>
                <w:rFonts w:asciiTheme="minorHAnsi" w:hAnsiTheme="minorHAnsi" w:cs="Arial"/>
                <w:bCs/>
                <w:szCs w:val="18"/>
              </w:rPr>
              <w:t xml:space="preserve"> children ages 3-5 (not in kindergarten) who receive MEP-funded preschool services will score proficient or show a gain of at least 5% on the NePAT or Teaching Strategies GOLD. </w:t>
            </w:r>
          </w:p>
        </w:tc>
        <w:tc>
          <w:tcPr>
            <w:tcW w:w="2970" w:type="dxa"/>
            <w:shd w:val="clear" w:color="auto" w:fill="auto"/>
          </w:tcPr>
          <w:p w14:paraId="7AD60195" w14:textId="77777777" w:rsidR="00E27D68" w:rsidRPr="00103F68" w:rsidRDefault="00E27D68" w:rsidP="002071F3">
            <w:pPr>
              <w:rPr>
                <w:rFonts w:asciiTheme="minorHAnsi" w:hAnsiTheme="minorHAnsi" w:cs="Arial"/>
                <w:szCs w:val="18"/>
              </w:rPr>
            </w:pPr>
            <w:r w:rsidRPr="00103F68">
              <w:rPr>
                <w:rFonts w:asciiTheme="minorHAnsi" w:hAnsiTheme="minorHAnsi" w:cs="Arial"/>
                <w:szCs w:val="18"/>
              </w:rPr>
              <w:t xml:space="preserve">What percentage of 3-5-year-old </w:t>
            </w:r>
            <w:r>
              <w:rPr>
                <w:rFonts w:asciiTheme="minorHAnsi" w:hAnsiTheme="minorHAnsi" w:cs="Arial"/>
                <w:szCs w:val="18"/>
              </w:rPr>
              <w:t>migratory</w:t>
            </w:r>
            <w:r w:rsidRPr="00103F68">
              <w:rPr>
                <w:rFonts w:asciiTheme="minorHAnsi" w:hAnsiTheme="minorHAnsi" w:cs="Arial"/>
                <w:szCs w:val="18"/>
              </w:rPr>
              <w:t xml:space="preserve"> children (PFS &amp; non-PFS) scored proficient or showed a 5% increase on the NePAT or Teaching Strategies GOLD?</w:t>
            </w:r>
          </w:p>
        </w:tc>
        <w:tc>
          <w:tcPr>
            <w:tcW w:w="2790" w:type="dxa"/>
            <w:shd w:val="clear" w:color="auto" w:fill="auto"/>
          </w:tcPr>
          <w:p w14:paraId="7F07AA96" w14:textId="77777777" w:rsidR="00E27D68" w:rsidRPr="00103F68" w:rsidRDefault="00E27D68" w:rsidP="002071F3">
            <w:pPr>
              <w:ind w:hanging="9"/>
              <w:rPr>
                <w:rFonts w:asciiTheme="minorHAnsi" w:hAnsiTheme="minorHAnsi" w:cs="Arial"/>
                <w:szCs w:val="18"/>
              </w:rPr>
            </w:pPr>
            <w:r w:rsidRPr="00103F68">
              <w:rPr>
                <w:rFonts w:asciiTheme="minorHAnsi" w:hAnsiTheme="minorHAnsi" w:cs="Arial"/>
                <w:szCs w:val="18"/>
              </w:rPr>
              <w:t>How many children scored proficient or showed a 5% increase on the NePAT or Teaching Strategies GOLD?</w:t>
            </w:r>
          </w:p>
        </w:tc>
      </w:tr>
      <w:tr w:rsidR="00E27D68" w:rsidRPr="00E27D5B" w14:paraId="3A8CF5EC" w14:textId="77777777" w:rsidTr="002071F3">
        <w:trPr>
          <w:jc w:val="center"/>
        </w:trPr>
        <w:tc>
          <w:tcPr>
            <w:tcW w:w="3695" w:type="dxa"/>
            <w:tcBorders>
              <w:top w:val="nil"/>
            </w:tcBorders>
          </w:tcPr>
          <w:p w14:paraId="73772F65" w14:textId="77777777" w:rsidR="00E27D68" w:rsidRPr="00103F68" w:rsidRDefault="00E27D68" w:rsidP="002071F3">
            <w:pPr>
              <w:rPr>
                <w:rFonts w:asciiTheme="minorHAnsi" w:hAnsiTheme="minorHAnsi" w:cs="Arial"/>
                <w:b/>
                <w:bCs/>
                <w:szCs w:val="18"/>
              </w:rPr>
            </w:pPr>
          </w:p>
        </w:tc>
        <w:tc>
          <w:tcPr>
            <w:tcW w:w="3950" w:type="dxa"/>
            <w:shd w:val="clear" w:color="auto" w:fill="auto"/>
          </w:tcPr>
          <w:p w14:paraId="3E6231C6" w14:textId="7A76B028" w:rsidR="00E27D68" w:rsidRPr="00103F68" w:rsidRDefault="00E27D68" w:rsidP="002071F3">
            <w:pPr>
              <w:rPr>
                <w:rFonts w:asciiTheme="minorHAnsi" w:hAnsiTheme="minorHAnsi" w:cs="Arial"/>
                <w:bCs/>
                <w:szCs w:val="18"/>
              </w:rPr>
            </w:pPr>
            <w:r w:rsidRPr="00103F68">
              <w:rPr>
                <w:rFonts w:asciiTheme="minorHAnsi" w:hAnsiTheme="minorHAnsi" w:cs="Arial"/>
                <w:b/>
                <w:bCs/>
                <w:szCs w:val="18"/>
              </w:rPr>
              <w:t>1c)</w:t>
            </w:r>
            <w:r w:rsidRPr="00103F68">
              <w:rPr>
                <w:rFonts w:asciiTheme="minorHAnsi" w:hAnsiTheme="minorHAnsi" w:cs="Arial"/>
                <w:bCs/>
                <w:szCs w:val="18"/>
              </w:rPr>
              <w:t xml:space="preserve"> By the end of the </w:t>
            </w:r>
            <w:r w:rsidR="00D14DD7">
              <w:rPr>
                <w:rFonts w:asciiTheme="minorHAnsi" w:hAnsiTheme="minorHAnsi" w:cs="Arial"/>
                <w:bCs/>
                <w:szCs w:val="18"/>
              </w:rPr>
              <w:t>2021-22</w:t>
            </w:r>
            <w:r w:rsidRPr="00103F68">
              <w:rPr>
                <w:rFonts w:asciiTheme="minorHAnsi" w:hAnsiTheme="minorHAnsi" w:cs="Arial"/>
                <w:bCs/>
                <w:szCs w:val="18"/>
              </w:rPr>
              <w:t xml:space="preserve"> performance period, 65% of eligible </w:t>
            </w:r>
            <w:r>
              <w:rPr>
                <w:rFonts w:asciiTheme="minorHAnsi" w:hAnsiTheme="minorHAnsi" w:cs="Arial"/>
                <w:bCs/>
                <w:szCs w:val="18"/>
              </w:rPr>
              <w:t>migratory</w:t>
            </w:r>
            <w:r w:rsidRPr="00103F68">
              <w:rPr>
                <w:rFonts w:asciiTheme="minorHAnsi" w:hAnsiTheme="minorHAnsi" w:cs="Arial"/>
                <w:bCs/>
                <w:szCs w:val="18"/>
              </w:rPr>
              <w:t xml:space="preserve"> children ages 3-5 (not in kindergarten) will receive MEP support services that contribute to their development of school readiness skills.</w:t>
            </w:r>
          </w:p>
        </w:tc>
        <w:tc>
          <w:tcPr>
            <w:tcW w:w="2970" w:type="dxa"/>
            <w:shd w:val="clear" w:color="auto" w:fill="auto"/>
          </w:tcPr>
          <w:p w14:paraId="581C4AFA" w14:textId="77777777" w:rsidR="00E27D68" w:rsidRPr="00103F68" w:rsidRDefault="00E27D68" w:rsidP="002071F3">
            <w:pPr>
              <w:rPr>
                <w:rFonts w:asciiTheme="minorHAnsi" w:hAnsiTheme="minorHAnsi" w:cs="Arial"/>
                <w:szCs w:val="18"/>
              </w:rPr>
            </w:pPr>
            <w:r w:rsidRPr="00103F68">
              <w:rPr>
                <w:rFonts w:asciiTheme="minorHAnsi" w:hAnsiTheme="minorHAnsi" w:cs="Arial"/>
                <w:szCs w:val="18"/>
              </w:rPr>
              <w:t>What percentage of eligible 3-5-year-old children (PFS &amp; non-PFS) received MEP support services?</w:t>
            </w:r>
          </w:p>
        </w:tc>
        <w:tc>
          <w:tcPr>
            <w:tcW w:w="2790" w:type="dxa"/>
            <w:shd w:val="clear" w:color="auto" w:fill="auto"/>
          </w:tcPr>
          <w:p w14:paraId="50752EB0" w14:textId="77777777" w:rsidR="00E27D68" w:rsidRPr="00103F68" w:rsidRDefault="00E27D68" w:rsidP="002071F3">
            <w:pPr>
              <w:ind w:hanging="9"/>
              <w:rPr>
                <w:rFonts w:asciiTheme="minorHAnsi" w:hAnsiTheme="minorHAnsi" w:cs="Arial"/>
                <w:szCs w:val="18"/>
              </w:rPr>
            </w:pPr>
            <w:r w:rsidRPr="00103F68">
              <w:rPr>
                <w:rFonts w:asciiTheme="minorHAnsi" w:hAnsiTheme="minorHAnsi" w:cs="Arial"/>
                <w:szCs w:val="18"/>
              </w:rPr>
              <w:t>What types of support services were provided to 3-5-year-old children?</w:t>
            </w:r>
          </w:p>
        </w:tc>
      </w:tr>
      <w:tr w:rsidR="00E27D68" w:rsidRPr="00E27D5B" w14:paraId="799C45D4" w14:textId="77777777" w:rsidTr="002071F3">
        <w:trPr>
          <w:jc w:val="center"/>
        </w:trPr>
        <w:tc>
          <w:tcPr>
            <w:tcW w:w="3695" w:type="dxa"/>
          </w:tcPr>
          <w:p w14:paraId="4CC32C5C" w14:textId="77777777" w:rsidR="00E27D68" w:rsidRPr="00103F68" w:rsidRDefault="00E27D68" w:rsidP="002071F3">
            <w:pPr>
              <w:pStyle w:val="TableParagraph"/>
              <w:rPr>
                <w:rFonts w:eastAsia="Calibri Light" w:cs="Calibri Light"/>
              </w:rPr>
            </w:pPr>
            <w:r w:rsidRPr="00103F68">
              <w:rPr>
                <w:rFonts w:eastAsia="Calibri Light" w:cs="Calibri Light"/>
                <w:b/>
                <w:u w:val="single"/>
              </w:rPr>
              <w:lastRenderedPageBreak/>
              <w:t>Strategy 1.2</w:t>
            </w:r>
            <w:r w:rsidRPr="00103F68">
              <w:rPr>
                <w:rFonts w:eastAsia="Calibri Light" w:cs="Calibri Light"/>
              </w:rPr>
              <w:t xml:space="preserve">: Coordinate/provide </w:t>
            </w:r>
            <w:r w:rsidRPr="00D62930">
              <w:rPr>
                <w:rFonts w:eastAsia="Calibri Light" w:cs="Calibri Light"/>
                <w:b/>
                <w:bCs/>
              </w:rPr>
              <w:t>support services</w:t>
            </w:r>
            <w:r w:rsidRPr="00103F68">
              <w:rPr>
                <w:rFonts w:eastAsia="Calibri Light" w:cs="Calibri Light"/>
              </w:rPr>
              <w:t xml:space="preserve"> to assist parents with identifying and overcoming barriers that prevent </w:t>
            </w:r>
            <w:r>
              <w:rPr>
                <w:rFonts w:eastAsia="Calibri Light" w:cs="Calibri Light"/>
              </w:rPr>
              <w:t>migratory</w:t>
            </w:r>
            <w:r w:rsidRPr="00103F68">
              <w:rPr>
                <w:rFonts w:eastAsia="Calibri Light" w:cs="Calibri Light"/>
              </w:rPr>
              <w:t xml:space="preserve"> preschool-aged children from attending preschool. </w:t>
            </w:r>
          </w:p>
          <w:p w14:paraId="7689A627" w14:textId="77777777" w:rsidR="00E27D68" w:rsidRPr="00103F68" w:rsidRDefault="00E27D68" w:rsidP="002071F3">
            <w:pPr>
              <w:pStyle w:val="TableParagraph"/>
              <w:rPr>
                <w:rFonts w:eastAsia="Calibri Light" w:cs="Calibri Light"/>
              </w:rPr>
            </w:pPr>
            <w:r w:rsidRPr="00103F68">
              <w:rPr>
                <w:rFonts w:eastAsia="Calibri Light" w:cs="Calibri Light"/>
                <w:b/>
                <w:u w:val="single"/>
              </w:rPr>
              <w:t>Strategy 1.3</w:t>
            </w:r>
            <w:r w:rsidRPr="00103F68">
              <w:rPr>
                <w:rFonts w:eastAsia="Calibri Light" w:cs="Calibri Light"/>
              </w:rPr>
              <w:t xml:space="preserve">: Coordinate/promote and model school readiness strategies to enhance </w:t>
            </w:r>
            <w:r w:rsidRPr="00D62930">
              <w:rPr>
                <w:rFonts w:eastAsia="Calibri Light" w:cs="Calibri Light"/>
                <w:b/>
                <w:bCs/>
              </w:rPr>
              <w:t>migratory parents’ capacity</w:t>
            </w:r>
            <w:r w:rsidRPr="00103F68">
              <w:rPr>
                <w:rFonts w:eastAsia="Calibri Light" w:cs="Calibri Light"/>
              </w:rPr>
              <w:t xml:space="preserve"> to support their child’s development of school readiness skills.</w:t>
            </w:r>
          </w:p>
        </w:tc>
        <w:tc>
          <w:tcPr>
            <w:tcW w:w="3950" w:type="dxa"/>
            <w:shd w:val="clear" w:color="auto" w:fill="auto"/>
          </w:tcPr>
          <w:p w14:paraId="19B8131E" w14:textId="584E265A" w:rsidR="00E27D68" w:rsidRPr="00103F68" w:rsidRDefault="00E27D68" w:rsidP="002071F3">
            <w:pPr>
              <w:rPr>
                <w:rFonts w:asciiTheme="minorHAnsi" w:hAnsiTheme="minorHAnsi" w:cs="Arial"/>
                <w:bCs/>
                <w:szCs w:val="18"/>
              </w:rPr>
            </w:pPr>
            <w:r w:rsidRPr="00103F68">
              <w:rPr>
                <w:rFonts w:asciiTheme="minorHAnsi" w:hAnsiTheme="minorHAnsi" w:cs="Arial"/>
                <w:b/>
                <w:bCs/>
                <w:szCs w:val="18"/>
              </w:rPr>
              <w:t>1d)</w:t>
            </w:r>
            <w:r w:rsidRPr="00103F68">
              <w:rPr>
                <w:rFonts w:asciiTheme="minorHAnsi" w:hAnsiTheme="minorHAnsi" w:cs="Arial"/>
                <w:bCs/>
                <w:szCs w:val="18"/>
              </w:rPr>
              <w:t xml:space="preserve"> By the end of the </w:t>
            </w:r>
            <w:r w:rsidR="00D14DD7">
              <w:rPr>
                <w:rFonts w:asciiTheme="minorHAnsi" w:hAnsiTheme="minorHAnsi" w:cs="Arial"/>
                <w:bCs/>
                <w:szCs w:val="18"/>
              </w:rPr>
              <w:t>2021-22</w:t>
            </w:r>
            <w:r w:rsidRPr="00103F68">
              <w:rPr>
                <w:rFonts w:asciiTheme="minorHAnsi" w:hAnsiTheme="minorHAnsi" w:cs="Arial"/>
                <w:bCs/>
                <w:szCs w:val="18"/>
              </w:rPr>
              <w:t xml:space="preserve"> performance period, 90% of parents of eligible </w:t>
            </w:r>
            <w:r>
              <w:rPr>
                <w:rFonts w:asciiTheme="minorHAnsi" w:hAnsiTheme="minorHAnsi" w:cs="Arial"/>
                <w:bCs/>
                <w:szCs w:val="18"/>
              </w:rPr>
              <w:t>migratory</w:t>
            </w:r>
            <w:r w:rsidRPr="00103F68">
              <w:rPr>
                <w:rFonts w:asciiTheme="minorHAnsi" w:hAnsiTheme="minorHAnsi" w:cs="Arial"/>
                <w:bCs/>
                <w:szCs w:val="18"/>
              </w:rPr>
              <w:t xml:space="preserve"> children ages 3-5 (not in kindergarten) who participate in MEP Family and Community Engagement (FACE)/PAC opportunities will report increased knowledge of school readiness skills.</w:t>
            </w:r>
          </w:p>
        </w:tc>
        <w:tc>
          <w:tcPr>
            <w:tcW w:w="2970" w:type="dxa"/>
            <w:shd w:val="clear" w:color="auto" w:fill="auto"/>
          </w:tcPr>
          <w:p w14:paraId="45C21D92" w14:textId="77777777" w:rsidR="00E27D68" w:rsidRPr="00103F68" w:rsidRDefault="00E27D68" w:rsidP="002071F3">
            <w:pPr>
              <w:rPr>
                <w:rFonts w:asciiTheme="minorHAnsi" w:hAnsiTheme="minorHAnsi" w:cs="Arial"/>
                <w:szCs w:val="18"/>
              </w:rPr>
            </w:pPr>
            <w:r w:rsidRPr="00103F68">
              <w:rPr>
                <w:rFonts w:asciiTheme="minorHAnsi" w:hAnsiTheme="minorHAnsi" w:cs="Arial"/>
                <w:szCs w:val="18"/>
              </w:rPr>
              <w:t xml:space="preserve">What percentage of parents reported increased knowledge of school readiness skills? </w:t>
            </w:r>
          </w:p>
        </w:tc>
        <w:tc>
          <w:tcPr>
            <w:tcW w:w="2790" w:type="dxa"/>
            <w:shd w:val="clear" w:color="auto" w:fill="auto"/>
          </w:tcPr>
          <w:p w14:paraId="42F5424E" w14:textId="77777777" w:rsidR="00E27D68" w:rsidRPr="00103F68" w:rsidRDefault="00E27D68" w:rsidP="002071F3">
            <w:pPr>
              <w:ind w:hanging="9"/>
              <w:rPr>
                <w:rFonts w:asciiTheme="minorHAnsi" w:hAnsiTheme="minorHAnsi" w:cs="Arial"/>
                <w:szCs w:val="18"/>
              </w:rPr>
            </w:pPr>
            <w:r w:rsidRPr="00103F68">
              <w:rPr>
                <w:rFonts w:asciiTheme="minorHAnsi" w:hAnsiTheme="minorHAnsi" w:cs="Arial"/>
                <w:szCs w:val="18"/>
              </w:rPr>
              <w:t xml:space="preserve">How many parents participated in FACE/PAC opportunities? </w:t>
            </w:r>
          </w:p>
          <w:p w14:paraId="55FD8320" w14:textId="77777777" w:rsidR="00E27D68" w:rsidRPr="00103F68" w:rsidRDefault="00E27D68" w:rsidP="002071F3">
            <w:pPr>
              <w:ind w:hanging="9"/>
              <w:rPr>
                <w:rFonts w:asciiTheme="minorHAnsi" w:hAnsiTheme="minorHAnsi" w:cs="Arial"/>
                <w:szCs w:val="18"/>
              </w:rPr>
            </w:pPr>
            <w:r w:rsidRPr="00103F68">
              <w:rPr>
                <w:rFonts w:asciiTheme="minorHAnsi" w:hAnsiTheme="minorHAnsi" w:cs="Arial"/>
                <w:szCs w:val="18"/>
              </w:rPr>
              <w:t>What types of services were provided?</w:t>
            </w:r>
          </w:p>
        </w:tc>
      </w:tr>
      <w:tr w:rsidR="00E27D68" w:rsidRPr="00E27D5B" w14:paraId="4ACD9871" w14:textId="77777777" w:rsidTr="002071F3">
        <w:trPr>
          <w:jc w:val="center"/>
        </w:trPr>
        <w:tc>
          <w:tcPr>
            <w:tcW w:w="3695" w:type="dxa"/>
          </w:tcPr>
          <w:p w14:paraId="7B2FC2BC" w14:textId="77777777" w:rsidR="00E27D68" w:rsidRPr="00103F68" w:rsidRDefault="00E27D68" w:rsidP="002071F3">
            <w:pPr>
              <w:pStyle w:val="TableParagraph"/>
            </w:pPr>
            <w:r w:rsidRPr="00103F68">
              <w:rPr>
                <w:b/>
                <w:u w:val="single"/>
              </w:rPr>
              <w:t>Strategy 1.4</w:t>
            </w:r>
            <w:r w:rsidRPr="00103F68">
              <w:t xml:space="preserve">: Provide </w:t>
            </w:r>
            <w:r w:rsidRPr="00D62930">
              <w:rPr>
                <w:b/>
                <w:bCs/>
              </w:rPr>
              <w:t xml:space="preserve">professional learning </w:t>
            </w:r>
            <w:r w:rsidRPr="00103F68">
              <w:t xml:space="preserve">opportunities to prepare staff to address the unique educational needs of </w:t>
            </w:r>
            <w:r>
              <w:t>migratory</w:t>
            </w:r>
            <w:r w:rsidRPr="00103F68">
              <w:t xml:space="preserve"> children ages 3-5 (not in kindergarten) using evidence-based strategies for instruction.</w:t>
            </w:r>
          </w:p>
        </w:tc>
        <w:tc>
          <w:tcPr>
            <w:tcW w:w="3950" w:type="dxa"/>
            <w:shd w:val="clear" w:color="auto" w:fill="auto"/>
          </w:tcPr>
          <w:p w14:paraId="724E95B6" w14:textId="095C9E0E" w:rsidR="00E27D68" w:rsidRPr="00103F68" w:rsidRDefault="00E27D68" w:rsidP="002071F3">
            <w:pPr>
              <w:rPr>
                <w:rFonts w:asciiTheme="minorHAnsi" w:hAnsiTheme="minorHAnsi" w:cs="Arial"/>
                <w:bCs/>
                <w:szCs w:val="20"/>
              </w:rPr>
            </w:pPr>
            <w:r w:rsidRPr="00103F68">
              <w:rPr>
                <w:rFonts w:asciiTheme="minorHAnsi" w:hAnsiTheme="minorHAnsi" w:cs="Arial"/>
                <w:b/>
                <w:bCs/>
                <w:szCs w:val="20"/>
              </w:rPr>
              <w:t>1e)</w:t>
            </w:r>
            <w:r w:rsidRPr="00103F68">
              <w:rPr>
                <w:rFonts w:asciiTheme="minorHAnsi" w:hAnsiTheme="minorHAnsi" w:cs="Arial"/>
                <w:bCs/>
                <w:szCs w:val="20"/>
              </w:rPr>
              <w:t xml:space="preserve"> By the end of the </w:t>
            </w:r>
            <w:r w:rsidR="00D14DD7">
              <w:rPr>
                <w:rFonts w:asciiTheme="minorHAnsi" w:hAnsiTheme="minorHAnsi" w:cs="Arial"/>
                <w:bCs/>
                <w:szCs w:val="20"/>
              </w:rPr>
              <w:t>2021-22</w:t>
            </w:r>
            <w:r w:rsidRPr="00103F68">
              <w:rPr>
                <w:rFonts w:asciiTheme="minorHAnsi" w:hAnsiTheme="minorHAnsi" w:cs="Arial"/>
                <w:bCs/>
                <w:szCs w:val="20"/>
              </w:rPr>
              <w:t xml:space="preserve"> performance period, 8</w:t>
            </w:r>
            <w:r w:rsidR="00F20442">
              <w:rPr>
                <w:rFonts w:asciiTheme="minorHAnsi" w:hAnsiTheme="minorHAnsi" w:cs="Arial"/>
                <w:bCs/>
                <w:szCs w:val="20"/>
              </w:rPr>
              <w:t>0</w:t>
            </w:r>
            <w:r w:rsidRPr="00103F68">
              <w:rPr>
                <w:rFonts w:asciiTheme="minorHAnsi" w:hAnsiTheme="minorHAnsi" w:cs="Arial"/>
                <w:bCs/>
                <w:szCs w:val="20"/>
              </w:rPr>
              <w:t xml:space="preserve">% of staff who participated in professional learning will have a statistically significant gain on a pre/post survey in their knowledge of evidence-based strategies to address the school readiness needs of </w:t>
            </w:r>
            <w:r>
              <w:rPr>
                <w:rFonts w:asciiTheme="minorHAnsi" w:hAnsiTheme="minorHAnsi" w:cs="Arial"/>
                <w:bCs/>
                <w:szCs w:val="20"/>
              </w:rPr>
              <w:t>migratory</w:t>
            </w:r>
            <w:r w:rsidRPr="00103F68">
              <w:rPr>
                <w:rFonts w:asciiTheme="minorHAnsi" w:hAnsiTheme="minorHAnsi" w:cs="Arial"/>
                <w:bCs/>
                <w:szCs w:val="20"/>
              </w:rPr>
              <w:t xml:space="preserve"> children.</w:t>
            </w:r>
          </w:p>
        </w:tc>
        <w:tc>
          <w:tcPr>
            <w:tcW w:w="2970" w:type="dxa"/>
            <w:shd w:val="clear" w:color="auto" w:fill="auto"/>
          </w:tcPr>
          <w:p w14:paraId="4BD26B37" w14:textId="77777777" w:rsidR="00E27D68" w:rsidRPr="00103F68" w:rsidRDefault="00E27D68" w:rsidP="002071F3">
            <w:pPr>
              <w:rPr>
                <w:rFonts w:asciiTheme="minorHAnsi" w:hAnsiTheme="minorHAnsi" w:cs="Arial"/>
                <w:szCs w:val="20"/>
              </w:rPr>
            </w:pPr>
            <w:r w:rsidRPr="00103F68">
              <w:rPr>
                <w:rFonts w:asciiTheme="minorHAnsi" w:hAnsiTheme="minorHAnsi" w:cs="Arial"/>
                <w:szCs w:val="20"/>
              </w:rPr>
              <w:t>What percentage of staff showed a statistically significant gain on a pre/post assessment?</w:t>
            </w:r>
          </w:p>
        </w:tc>
        <w:tc>
          <w:tcPr>
            <w:tcW w:w="2790" w:type="dxa"/>
            <w:shd w:val="clear" w:color="auto" w:fill="auto"/>
          </w:tcPr>
          <w:p w14:paraId="6267FFCF" w14:textId="77777777" w:rsidR="00E27D68" w:rsidRPr="00103F68" w:rsidRDefault="00E27D68" w:rsidP="002071F3">
            <w:pPr>
              <w:ind w:hanging="9"/>
              <w:rPr>
                <w:rFonts w:asciiTheme="minorHAnsi" w:hAnsiTheme="minorHAnsi" w:cs="Arial"/>
                <w:szCs w:val="20"/>
              </w:rPr>
            </w:pPr>
            <w:r w:rsidRPr="00103F68">
              <w:rPr>
                <w:rFonts w:asciiTheme="minorHAnsi" w:hAnsiTheme="minorHAnsi" w:cs="Arial"/>
                <w:szCs w:val="20"/>
              </w:rPr>
              <w:t>What school readiness professional learning was provided to staff?</w:t>
            </w:r>
          </w:p>
        </w:tc>
      </w:tr>
    </w:tbl>
    <w:p w14:paraId="4C5E04A3" w14:textId="77777777" w:rsidR="00E27D68" w:rsidRDefault="00E27D68" w:rsidP="00E27D68">
      <w:pPr>
        <w:pStyle w:val="Heading2"/>
      </w:pPr>
    </w:p>
    <w:p w14:paraId="4DE4B608" w14:textId="77777777" w:rsidR="00E27D68" w:rsidRDefault="00E27D68" w:rsidP="00E27D68">
      <w:pPr>
        <w:rPr>
          <w:rFonts w:ascii="Arial Black" w:eastAsia="Times New Roman" w:hAnsi="Arial Black"/>
          <w:b/>
          <w:bCs/>
          <w:iCs/>
          <w:color w:val="1F3864" w:themeColor="accent1" w:themeShade="80"/>
          <w:sz w:val="24"/>
          <w:szCs w:val="28"/>
        </w:rPr>
      </w:pPr>
      <w:r>
        <w:rPr>
          <w:rFonts w:ascii="Arial Black" w:hAnsi="Arial Black"/>
          <w:i/>
          <w:color w:val="1F3864" w:themeColor="accent1" w:themeShade="80"/>
          <w:sz w:val="24"/>
        </w:rPr>
        <w:br w:type="page"/>
      </w:r>
    </w:p>
    <w:p w14:paraId="5A28426C" w14:textId="77777777" w:rsidR="00E27D68" w:rsidRPr="000B00F4" w:rsidRDefault="00E27D68" w:rsidP="00E27D68">
      <w:pPr>
        <w:pStyle w:val="Heading2"/>
        <w:rPr>
          <w:rFonts w:ascii="Arial Black" w:hAnsi="Arial Black"/>
          <w:i w:val="0"/>
          <w:color w:val="385623" w:themeColor="accent6" w:themeShade="80"/>
          <w:sz w:val="24"/>
        </w:rPr>
      </w:pPr>
      <w:r w:rsidRPr="000B00F4">
        <w:rPr>
          <w:rFonts w:ascii="Arial Black" w:hAnsi="Arial Black"/>
          <w:i w:val="0"/>
          <w:color w:val="385623" w:themeColor="accent6" w:themeShade="80"/>
          <w:sz w:val="24"/>
        </w:rPr>
        <w:lastRenderedPageBreak/>
        <w:t>GOAL AREA #2: ENGLISH LANGUAGE ARTS (ELA) AND MATHEMATICS</w:t>
      </w:r>
    </w:p>
    <w:p w14:paraId="55890A31" w14:textId="4251DDFB" w:rsidR="00E27D68" w:rsidRPr="006130E7" w:rsidRDefault="00E27D68" w:rsidP="00E27D68">
      <w:pPr>
        <w:pStyle w:val="BodyText"/>
        <w:spacing w:before="120" w:after="0"/>
        <w:rPr>
          <w:rFonts w:asciiTheme="minorHAnsi" w:hAnsiTheme="minorHAnsi"/>
          <w:szCs w:val="20"/>
        </w:rPr>
      </w:pPr>
      <w:r w:rsidRPr="006130E7">
        <w:rPr>
          <w:rFonts w:asciiTheme="minorHAnsi" w:hAnsiTheme="minorHAnsi"/>
          <w:b/>
          <w:szCs w:val="20"/>
          <w:u w:val="single"/>
        </w:rPr>
        <w:t>State Performance Target</w:t>
      </w:r>
      <w:r w:rsidRPr="006130E7">
        <w:rPr>
          <w:rFonts w:asciiTheme="minorHAnsi" w:hAnsiTheme="minorHAnsi"/>
          <w:b/>
          <w:szCs w:val="20"/>
        </w:rPr>
        <w:t xml:space="preserve">: </w:t>
      </w:r>
      <w:r w:rsidRPr="006130E7">
        <w:rPr>
          <w:rFonts w:asciiTheme="minorHAnsi" w:hAnsiTheme="minorHAnsi"/>
          <w:szCs w:val="20"/>
        </w:rPr>
        <w:t xml:space="preserve">In </w:t>
      </w:r>
      <w:r w:rsidR="00D14DD7">
        <w:rPr>
          <w:rFonts w:asciiTheme="minorHAnsi" w:hAnsiTheme="minorHAnsi"/>
          <w:szCs w:val="20"/>
        </w:rPr>
        <w:t>2021-22</w:t>
      </w:r>
      <w:r w:rsidRPr="006130E7">
        <w:rPr>
          <w:rFonts w:asciiTheme="minorHAnsi" w:hAnsiTheme="minorHAnsi"/>
          <w:szCs w:val="20"/>
        </w:rPr>
        <w:t>,</w:t>
      </w:r>
      <w:r w:rsidRPr="006130E7">
        <w:rPr>
          <w:rFonts w:asciiTheme="minorHAnsi" w:hAnsiTheme="minorHAnsi"/>
          <w:b/>
          <w:szCs w:val="20"/>
        </w:rPr>
        <w:t xml:space="preserve"> </w:t>
      </w:r>
      <w:r w:rsidRPr="006130E7">
        <w:rPr>
          <w:rFonts w:asciiTheme="minorHAnsi" w:hAnsiTheme="minorHAnsi"/>
          <w:szCs w:val="20"/>
        </w:rPr>
        <w:t>8</w:t>
      </w:r>
      <w:r w:rsidR="00EE0DF6">
        <w:rPr>
          <w:rFonts w:asciiTheme="minorHAnsi" w:hAnsiTheme="minorHAnsi"/>
          <w:szCs w:val="20"/>
        </w:rPr>
        <w:t>4</w:t>
      </w:r>
      <w:r w:rsidRPr="006130E7">
        <w:rPr>
          <w:rFonts w:asciiTheme="minorHAnsi" w:hAnsiTheme="minorHAnsi"/>
          <w:szCs w:val="20"/>
        </w:rPr>
        <w:t>% of students will score proficient or above in English Language Arts (ELA) on NSCAS-ELA assessment</w:t>
      </w:r>
      <w:r w:rsidR="00EE0DF6">
        <w:rPr>
          <w:rFonts w:asciiTheme="minorHAnsi" w:hAnsiTheme="minorHAnsi"/>
          <w:szCs w:val="20"/>
        </w:rPr>
        <w:t>s</w:t>
      </w:r>
      <w:r w:rsidRPr="006130E7">
        <w:rPr>
          <w:rFonts w:asciiTheme="minorHAnsi" w:hAnsiTheme="minorHAnsi"/>
          <w:szCs w:val="20"/>
        </w:rPr>
        <w:t>, and 7</w:t>
      </w:r>
      <w:r w:rsidR="00EE0DF6">
        <w:rPr>
          <w:rFonts w:asciiTheme="minorHAnsi" w:hAnsiTheme="minorHAnsi"/>
          <w:szCs w:val="20"/>
        </w:rPr>
        <w:t>9</w:t>
      </w:r>
      <w:r w:rsidRPr="006130E7">
        <w:rPr>
          <w:rFonts w:asciiTheme="minorHAnsi" w:hAnsiTheme="minorHAnsi"/>
          <w:szCs w:val="20"/>
        </w:rPr>
        <w:t>% will score proficient or above in Math on NSCAS</w:t>
      </w:r>
      <w:r w:rsidR="00EE0DF6">
        <w:rPr>
          <w:rFonts w:asciiTheme="minorHAnsi" w:hAnsiTheme="minorHAnsi"/>
          <w:szCs w:val="20"/>
        </w:rPr>
        <w:t>-</w:t>
      </w:r>
      <w:r w:rsidRPr="006130E7">
        <w:rPr>
          <w:rFonts w:asciiTheme="minorHAnsi" w:hAnsiTheme="minorHAnsi"/>
          <w:szCs w:val="20"/>
        </w:rPr>
        <w:t>Math assessment</w:t>
      </w:r>
      <w:r w:rsidR="00EE0DF6">
        <w:rPr>
          <w:rFonts w:asciiTheme="minorHAnsi" w:hAnsiTheme="minorHAnsi"/>
          <w:szCs w:val="20"/>
        </w:rPr>
        <w:t>s</w:t>
      </w:r>
      <w:r w:rsidRPr="006130E7">
        <w:rPr>
          <w:rFonts w:asciiTheme="minorHAnsi" w:hAnsiTheme="minorHAnsi"/>
          <w:szCs w:val="20"/>
        </w:rPr>
        <w:t>.</w:t>
      </w:r>
    </w:p>
    <w:p w14:paraId="0558D54B" w14:textId="77777777" w:rsidR="00E27D68" w:rsidRPr="006130E7" w:rsidRDefault="00E27D68" w:rsidP="005613EC">
      <w:pPr>
        <w:pStyle w:val="BodyText"/>
        <w:spacing w:after="0"/>
        <w:rPr>
          <w:rFonts w:asciiTheme="minorHAnsi" w:hAnsiTheme="minorHAnsi"/>
          <w:szCs w:val="20"/>
        </w:rPr>
      </w:pPr>
      <w:r w:rsidRPr="006130E7">
        <w:rPr>
          <w:rFonts w:asciiTheme="minorHAnsi" w:hAnsiTheme="minorHAnsi"/>
          <w:b/>
          <w:szCs w:val="20"/>
          <w:u w:val="single"/>
        </w:rPr>
        <w:t>Concern Statement</w:t>
      </w:r>
      <w:r w:rsidRPr="006130E7">
        <w:rPr>
          <w:rFonts w:asciiTheme="minorHAnsi" w:hAnsiTheme="minorHAnsi"/>
          <w:b/>
          <w:szCs w:val="20"/>
        </w:rPr>
        <w:t xml:space="preserve">: </w:t>
      </w:r>
      <w:r w:rsidRPr="006130E7">
        <w:rPr>
          <w:rFonts w:asciiTheme="minorHAnsi" w:hAnsiTheme="minorHAnsi"/>
          <w:szCs w:val="20"/>
        </w:rPr>
        <w:t xml:space="preserve">We are concerned that as a result of migrancy, migratory students, especially English learners, have gaps in their education that lead to skill deficiencies and lower proficiency rates on State ELA and math assessments. </w:t>
      </w:r>
    </w:p>
    <w:p w14:paraId="3BFB4968" w14:textId="50D25586" w:rsidR="00E27D68" w:rsidRPr="006130E7" w:rsidRDefault="00E27D68" w:rsidP="005613EC">
      <w:pPr>
        <w:pStyle w:val="BodyText"/>
        <w:spacing w:after="0"/>
        <w:rPr>
          <w:rFonts w:asciiTheme="minorHAnsi" w:hAnsiTheme="minorHAnsi"/>
          <w:szCs w:val="20"/>
        </w:rPr>
      </w:pPr>
      <w:r w:rsidRPr="006130E7">
        <w:rPr>
          <w:rFonts w:asciiTheme="minorHAnsi" w:hAnsiTheme="minorHAnsi"/>
          <w:b/>
          <w:szCs w:val="20"/>
          <w:u w:val="single"/>
        </w:rPr>
        <w:t>Data Summary</w:t>
      </w:r>
      <w:r w:rsidRPr="006130E7">
        <w:rPr>
          <w:rFonts w:asciiTheme="minorHAnsi" w:hAnsiTheme="minorHAnsi"/>
          <w:b/>
          <w:szCs w:val="20"/>
        </w:rPr>
        <w:t xml:space="preserve">: </w:t>
      </w:r>
      <w:r w:rsidRPr="006130E7">
        <w:rPr>
          <w:rFonts w:asciiTheme="minorHAnsi" w:hAnsiTheme="minorHAnsi"/>
          <w:szCs w:val="20"/>
        </w:rPr>
        <w:t>In 201</w:t>
      </w:r>
      <w:r w:rsidR="004F6923">
        <w:rPr>
          <w:rFonts w:asciiTheme="minorHAnsi" w:hAnsiTheme="minorHAnsi"/>
          <w:szCs w:val="20"/>
        </w:rPr>
        <w:t>8</w:t>
      </w:r>
      <w:r w:rsidRPr="006130E7">
        <w:rPr>
          <w:rFonts w:asciiTheme="minorHAnsi" w:hAnsiTheme="minorHAnsi"/>
          <w:szCs w:val="20"/>
        </w:rPr>
        <w:t>-1</w:t>
      </w:r>
      <w:r w:rsidR="004F6923">
        <w:rPr>
          <w:rFonts w:asciiTheme="minorHAnsi" w:hAnsiTheme="minorHAnsi"/>
          <w:szCs w:val="20"/>
        </w:rPr>
        <w:t>9</w:t>
      </w:r>
      <w:r w:rsidRPr="006130E7">
        <w:rPr>
          <w:rFonts w:asciiTheme="minorHAnsi" w:hAnsiTheme="minorHAnsi"/>
          <w:szCs w:val="20"/>
        </w:rPr>
        <w:t xml:space="preserve">, </w:t>
      </w:r>
      <w:r w:rsidR="004F6923">
        <w:rPr>
          <w:rFonts w:asciiTheme="minorHAnsi" w:hAnsiTheme="minorHAnsi"/>
          <w:szCs w:val="20"/>
        </w:rPr>
        <w:t>20</w:t>
      </w:r>
      <w:r w:rsidRPr="006130E7">
        <w:rPr>
          <w:rFonts w:asciiTheme="minorHAnsi" w:hAnsiTheme="minorHAnsi"/>
          <w:szCs w:val="20"/>
        </w:rPr>
        <w:t>% of migratory students (</w:t>
      </w:r>
      <w:r w:rsidR="004F6923">
        <w:rPr>
          <w:rFonts w:asciiTheme="minorHAnsi" w:hAnsiTheme="minorHAnsi"/>
          <w:szCs w:val="20"/>
        </w:rPr>
        <w:t>12</w:t>
      </w:r>
      <w:r w:rsidRPr="006130E7">
        <w:rPr>
          <w:rFonts w:asciiTheme="minorHAnsi" w:hAnsiTheme="minorHAnsi"/>
          <w:szCs w:val="20"/>
        </w:rPr>
        <w:t>% of PFS students) scored proficient or above in ELA compared to 5</w:t>
      </w:r>
      <w:r w:rsidR="004F6923">
        <w:rPr>
          <w:rFonts w:asciiTheme="minorHAnsi" w:hAnsiTheme="minorHAnsi"/>
          <w:szCs w:val="20"/>
        </w:rPr>
        <w:t>2</w:t>
      </w:r>
      <w:r w:rsidRPr="006130E7">
        <w:rPr>
          <w:rFonts w:asciiTheme="minorHAnsi" w:hAnsiTheme="minorHAnsi"/>
          <w:szCs w:val="20"/>
        </w:rPr>
        <w:t>% of non-migratory students; and 2</w:t>
      </w:r>
      <w:r w:rsidR="004F6923">
        <w:rPr>
          <w:rFonts w:asciiTheme="minorHAnsi" w:hAnsiTheme="minorHAnsi"/>
          <w:szCs w:val="20"/>
        </w:rPr>
        <w:t>4</w:t>
      </w:r>
      <w:r w:rsidRPr="006130E7">
        <w:rPr>
          <w:rFonts w:asciiTheme="minorHAnsi" w:hAnsiTheme="minorHAnsi"/>
          <w:szCs w:val="20"/>
        </w:rPr>
        <w:t>% of migratory students (1</w:t>
      </w:r>
      <w:r w:rsidR="004F6923">
        <w:rPr>
          <w:rFonts w:asciiTheme="minorHAnsi" w:hAnsiTheme="minorHAnsi"/>
          <w:szCs w:val="20"/>
        </w:rPr>
        <w:t>6</w:t>
      </w:r>
      <w:r w:rsidRPr="006130E7">
        <w:rPr>
          <w:rFonts w:asciiTheme="minorHAnsi" w:hAnsiTheme="minorHAnsi"/>
          <w:szCs w:val="20"/>
        </w:rPr>
        <w:t>% of PFS students) scored proficient or above in math compared to 5</w:t>
      </w:r>
      <w:r w:rsidR="004F6923">
        <w:rPr>
          <w:rFonts w:asciiTheme="minorHAnsi" w:hAnsiTheme="minorHAnsi"/>
          <w:szCs w:val="20"/>
        </w:rPr>
        <w:t>2</w:t>
      </w:r>
      <w:r w:rsidRPr="006130E7">
        <w:rPr>
          <w:rFonts w:asciiTheme="minorHAnsi" w:hAnsiTheme="minorHAnsi"/>
          <w:szCs w:val="20"/>
        </w:rPr>
        <w:t>% of non-migratory students.</w:t>
      </w:r>
    </w:p>
    <w:p w14:paraId="3EFC6244" w14:textId="58362380" w:rsidR="00E27D68" w:rsidRPr="006130E7" w:rsidRDefault="00E27D68" w:rsidP="00E93E33">
      <w:pPr>
        <w:pStyle w:val="BodyText"/>
        <w:rPr>
          <w:rFonts w:asciiTheme="minorHAnsi" w:hAnsiTheme="minorHAnsi" w:cs="Arial"/>
          <w:szCs w:val="18"/>
        </w:rPr>
      </w:pPr>
      <w:r w:rsidRPr="006130E7">
        <w:rPr>
          <w:rFonts w:asciiTheme="minorHAnsi" w:hAnsiTheme="minorHAnsi"/>
          <w:b/>
          <w:szCs w:val="20"/>
          <w:u w:val="single"/>
        </w:rPr>
        <w:t>Need Statement</w:t>
      </w:r>
      <w:r w:rsidRPr="006130E7">
        <w:rPr>
          <w:rFonts w:asciiTheme="minorHAnsi" w:hAnsiTheme="minorHAnsi"/>
          <w:b/>
          <w:szCs w:val="20"/>
        </w:rPr>
        <w:t>:</w:t>
      </w:r>
      <w:r w:rsidRPr="006130E7">
        <w:rPr>
          <w:rFonts w:asciiTheme="minorHAnsi" w:hAnsiTheme="minorHAnsi"/>
          <w:szCs w:val="20"/>
        </w:rPr>
        <w:t xml:space="preserve"> The percentage of migratory students scoring proficient or above on NSCAS assessments needs to increase by 32% (4</w:t>
      </w:r>
      <w:r w:rsidR="004F6923">
        <w:rPr>
          <w:rFonts w:asciiTheme="minorHAnsi" w:hAnsiTheme="minorHAnsi"/>
          <w:szCs w:val="20"/>
        </w:rPr>
        <w:t>0</w:t>
      </w:r>
      <w:r w:rsidRPr="006130E7">
        <w:rPr>
          <w:rFonts w:asciiTheme="minorHAnsi" w:hAnsiTheme="minorHAnsi"/>
          <w:szCs w:val="20"/>
        </w:rPr>
        <w:t xml:space="preserve">% for PFS students) in ELA, and </w:t>
      </w:r>
      <w:r w:rsidR="004F6923">
        <w:rPr>
          <w:rFonts w:asciiTheme="minorHAnsi" w:hAnsiTheme="minorHAnsi"/>
          <w:szCs w:val="20"/>
        </w:rPr>
        <w:t>28</w:t>
      </w:r>
      <w:r w:rsidRPr="006130E7">
        <w:rPr>
          <w:rFonts w:asciiTheme="minorHAnsi" w:hAnsiTheme="minorHAnsi"/>
          <w:szCs w:val="20"/>
        </w:rPr>
        <w:t>% (3</w:t>
      </w:r>
      <w:r w:rsidR="004F6923">
        <w:rPr>
          <w:rFonts w:asciiTheme="minorHAnsi" w:hAnsiTheme="minorHAnsi"/>
          <w:szCs w:val="20"/>
        </w:rPr>
        <w:t>6</w:t>
      </w:r>
      <w:r w:rsidRPr="006130E7">
        <w:rPr>
          <w:rFonts w:asciiTheme="minorHAnsi" w:hAnsiTheme="minorHAnsi"/>
          <w:szCs w:val="20"/>
        </w:rPr>
        <w:t>% for PFS students) in math to eliminate the gap between migratory and non-migratory students.</w:t>
      </w:r>
    </w:p>
    <w:tbl>
      <w:tblPr>
        <w:tblW w:w="13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4065"/>
        <w:gridCol w:w="2700"/>
        <w:gridCol w:w="2561"/>
      </w:tblGrid>
      <w:tr w:rsidR="00E27D68" w:rsidRPr="005613EC" w14:paraId="4ADED31C" w14:textId="77777777" w:rsidTr="00E93E33">
        <w:trPr>
          <w:tblHeader/>
          <w:jc w:val="center"/>
        </w:trPr>
        <w:tc>
          <w:tcPr>
            <w:tcW w:w="4135" w:type="dxa"/>
            <w:shd w:val="clear" w:color="auto" w:fill="538135" w:themeFill="accent6" w:themeFillShade="BF"/>
            <w:vAlign w:val="bottom"/>
          </w:tcPr>
          <w:p w14:paraId="735295B4"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Strategies</w:t>
            </w:r>
          </w:p>
        </w:tc>
        <w:tc>
          <w:tcPr>
            <w:tcW w:w="4065" w:type="dxa"/>
            <w:shd w:val="clear" w:color="auto" w:fill="538135" w:themeFill="accent6" w:themeFillShade="BF"/>
            <w:vAlign w:val="bottom"/>
          </w:tcPr>
          <w:p w14:paraId="424613C6"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Measurable Program</w:t>
            </w:r>
          </w:p>
          <w:p w14:paraId="157176AA"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Outcomes (MPOs)</w:t>
            </w:r>
          </w:p>
        </w:tc>
        <w:tc>
          <w:tcPr>
            <w:tcW w:w="2700" w:type="dxa"/>
            <w:shd w:val="clear" w:color="auto" w:fill="538135" w:themeFill="accent6" w:themeFillShade="BF"/>
            <w:vAlign w:val="bottom"/>
          </w:tcPr>
          <w:p w14:paraId="3CE2022B"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Evaluation Questions for</w:t>
            </w:r>
          </w:p>
          <w:p w14:paraId="4579FE1E"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Program Results</w:t>
            </w:r>
          </w:p>
        </w:tc>
        <w:tc>
          <w:tcPr>
            <w:tcW w:w="2561" w:type="dxa"/>
            <w:shd w:val="clear" w:color="auto" w:fill="538135" w:themeFill="accent6" w:themeFillShade="BF"/>
            <w:vAlign w:val="bottom"/>
          </w:tcPr>
          <w:p w14:paraId="74169E36"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Evaluation Questions for</w:t>
            </w:r>
          </w:p>
          <w:p w14:paraId="22C06B3D" w14:textId="77777777" w:rsidR="00E27D68" w:rsidRPr="005613EC" w:rsidRDefault="00E27D68" w:rsidP="002071F3">
            <w:pPr>
              <w:jc w:val="center"/>
              <w:rPr>
                <w:rFonts w:asciiTheme="minorHAnsi" w:hAnsiTheme="minorHAnsi" w:cs="Arial"/>
                <w:b/>
                <w:color w:val="FFFFFF" w:themeColor="background1"/>
                <w:sz w:val="20"/>
                <w:szCs w:val="16"/>
              </w:rPr>
            </w:pPr>
            <w:r w:rsidRPr="005613EC">
              <w:rPr>
                <w:rFonts w:asciiTheme="minorHAnsi" w:hAnsiTheme="minorHAnsi" w:cs="Arial"/>
                <w:b/>
                <w:color w:val="FFFFFF" w:themeColor="background1"/>
                <w:sz w:val="20"/>
                <w:szCs w:val="16"/>
              </w:rPr>
              <w:t>Program Implementation</w:t>
            </w:r>
          </w:p>
        </w:tc>
      </w:tr>
      <w:tr w:rsidR="00E27D68" w:rsidRPr="005613EC" w14:paraId="39400E5B" w14:textId="77777777" w:rsidTr="00E93E33">
        <w:trPr>
          <w:jc w:val="center"/>
        </w:trPr>
        <w:tc>
          <w:tcPr>
            <w:tcW w:w="4135" w:type="dxa"/>
            <w:tcBorders>
              <w:bottom w:val="nil"/>
            </w:tcBorders>
          </w:tcPr>
          <w:p w14:paraId="6155ABBE" w14:textId="77777777" w:rsidR="00E27D68" w:rsidRPr="00E93E33" w:rsidRDefault="00E27D68" w:rsidP="002071F3">
            <w:pPr>
              <w:rPr>
                <w:rFonts w:asciiTheme="minorHAnsi" w:hAnsiTheme="minorHAnsi"/>
                <w:sz w:val="21"/>
                <w:szCs w:val="21"/>
              </w:rPr>
            </w:pPr>
            <w:r w:rsidRPr="00E93E33">
              <w:rPr>
                <w:rFonts w:asciiTheme="minorHAnsi" w:hAnsiTheme="minorHAnsi"/>
                <w:b/>
                <w:sz w:val="21"/>
                <w:szCs w:val="21"/>
                <w:u w:val="single"/>
              </w:rPr>
              <w:t>Strategy 2.1</w:t>
            </w:r>
            <w:r w:rsidRPr="00E93E33">
              <w:rPr>
                <w:rFonts w:asciiTheme="minorHAnsi" w:hAnsiTheme="minorHAnsi"/>
                <w:sz w:val="21"/>
                <w:szCs w:val="21"/>
              </w:rPr>
              <w:t xml:space="preserve">: Coordinate/provide evidence-based supplemental targeted </w:t>
            </w:r>
            <w:r w:rsidRPr="00D62930">
              <w:rPr>
                <w:rFonts w:asciiTheme="minorHAnsi" w:hAnsiTheme="minorHAnsi"/>
                <w:b/>
                <w:bCs/>
                <w:sz w:val="21"/>
                <w:szCs w:val="21"/>
              </w:rPr>
              <w:t>ELA and math support</w:t>
            </w:r>
            <w:r w:rsidRPr="00E93E33">
              <w:rPr>
                <w:rFonts w:asciiTheme="minorHAnsi" w:hAnsiTheme="minorHAnsi"/>
                <w:sz w:val="21"/>
                <w:szCs w:val="21"/>
              </w:rPr>
              <w:t xml:space="preserve"> (e.g., in-school support, programs on days when school is not in session, before/after school tutoring, home-based instruction).</w:t>
            </w:r>
          </w:p>
        </w:tc>
        <w:tc>
          <w:tcPr>
            <w:tcW w:w="4065" w:type="dxa"/>
            <w:tcBorders>
              <w:bottom w:val="nil"/>
            </w:tcBorders>
            <w:shd w:val="clear" w:color="auto" w:fill="auto"/>
          </w:tcPr>
          <w:p w14:paraId="2EAA784F" w14:textId="60C708FA" w:rsidR="00E27D68" w:rsidRPr="00E93E33" w:rsidRDefault="00E27D68" w:rsidP="002071F3">
            <w:pPr>
              <w:rPr>
                <w:rFonts w:asciiTheme="minorHAnsi" w:hAnsiTheme="minorHAnsi" w:cs="Arial"/>
                <w:bCs/>
                <w:sz w:val="21"/>
                <w:szCs w:val="21"/>
              </w:rPr>
            </w:pPr>
            <w:r w:rsidRPr="00E93E33">
              <w:rPr>
                <w:rFonts w:asciiTheme="minorHAnsi" w:hAnsiTheme="minorHAnsi" w:cs="Arial"/>
                <w:b/>
                <w:bCs/>
                <w:sz w:val="21"/>
                <w:szCs w:val="21"/>
              </w:rPr>
              <w:t>2a)</w:t>
            </w:r>
            <w:r w:rsidRPr="00E93E33">
              <w:rPr>
                <w:rFonts w:asciiTheme="minorHAnsi" w:hAnsiTheme="minorHAnsi" w:cs="Arial"/>
                <w:bCs/>
                <w:sz w:val="21"/>
                <w:szCs w:val="21"/>
              </w:rPr>
              <w:t xml:space="preserve"> By the end of the </w:t>
            </w:r>
            <w:r w:rsidR="00D14DD7">
              <w:rPr>
                <w:rFonts w:asciiTheme="minorHAnsi" w:hAnsiTheme="minorHAnsi" w:cs="Arial"/>
                <w:bCs/>
                <w:sz w:val="21"/>
                <w:szCs w:val="21"/>
              </w:rPr>
              <w:t>2021-22</w:t>
            </w:r>
            <w:r w:rsidRPr="00E93E33">
              <w:rPr>
                <w:rFonts w:asciiTheme="minorHAnsi" w:hAnsiTheme="minorHAnsi" w:cs="Arial"/>
                <w:bCs/>
                <w:sz w:val="21"/>
                <w:szCs w:val="21"/>
              </w:rPr>
              <w:t xml:space="preserve"> performance period, 70% of K-12 migratory students who receive MEP supplemental instructional services in ELA and/or math will score proficient or show a gain of at least 5% on district pre/post assessments.</w:t>
            </w:r>
          </w:p>
        </w:tc>
        <w:tc>
          <w:tcPr>
            <w:tcW w:w="2700" w:type="dxa"/>
            <w:shd w:val="clear" w:color="auto" w:fill="auto"/>
          </w:tcPr>
          <w:p w14:paraId="5CD631D5" w14:textId="77777777" w:rsidR="00E27D68" w:rsidRPr="00E93E33" w:rsidRDefault="00E27D68" w:rsidP="002071F3">
            <w:pPr>
              <w:rPr>
                <w:rFonts w:asciiTheme="minorHAnsi" w:hAnsiTheme="minorHAnsi" w:cs="Arial"/>
                <w:sz w:val="21"/>
                <w:szCs w:val="21"/>
              </w:rPr>
            </w:pPr>
            <w:r w:rsidRPr="00E93E33">
              <w:rPr>
                <w:rFonts w:asciiTheme="minorHAnsi" w:hAnsiTheme="minorHAnsi" w:cs="Arial"/>
                <w:sz w:val="21"/>
                <w:szCs w:val="21"/>
              </w:rPr>
              <w:t>What percentage of K-12 migratory students (PFS &amp; non-PFS) scored proficient or showed a 5% increase on district ELA/ math assessments?</w:t>
            </w:r>
          </w:p>
        </w:tc>
        <w:tc>
          <w:tcPr>
            <w:tcW w:w="2561" w:type="dxa"/>
            <w:shd w:val="clear" w:color="auto" w:fill="auto"/>
          </w:tcPr>
          <w:p w14:paraId="2042AEFE" w14:textId="77777777" w:rsidR="00E27D68" w:rsidRPr="00E93E33" w:rsidRDefault="00E27D68" w:rsidP="002071F3">
            <w:pPr>
              <w:rPr>
                <w:rFonts w:asciiTheme="minorHAnsi" w:hAnsiTheme="minorHAnsi" w:cs="Arial"/>
                <w:sz w:val="21"/>
                <w:szCs w:val="21"/>
              </w:rPr>
            </w:pPr>
            <w:r w:rsidRPr="00E93E33">
              <w:rPr>
                <w:rFonts w:asciiTheme="minorHAnsi" w:hAnsiTheme="minorHAnsi" w:cs="Arial"/>
                <w:sz w:val="21"/>
                <w:szCs w:val="21"/>
              </w:rPr>
              <w:t>What types of supplemental instructional services in ELA/math were provided?</w:t>
            </w:r>
          </w:p>
        </w:tc>
      </w:tr>
      <w:tr w:rsidR="00E27D68" w:rsidRPr="005613EC" w14:paraId="1F590B07" w14:textId="77777777" w:rsidTr="00E93E33">
        <w:trPr>
          <w:jc w:val="center"/>
        </w:trPr>
        <w:tc>
          <w:tcPr>
            <w:tcW w:w="4135" w:type="dxa"/>
          </w:tcPr>
          <w:p w14:paraId="697388DB" w14:textId="77777777" w:rsidR="00E27D68" w:rsidRPr="00E93E33" w:rsidRDefault="00E27D68" w:rsidP="002071F3">
            <w:pPr>
              <w:rPr>
                <w:rFonts w:asciiTheme="minorHAnsi" w:hAnsiTheme="minorHAnsi"/>
                <w:sz w:val="21"/>
                <w:szCs w:val="21"/>
              </w:rPr>
            </w:pPr>
            <w:r w:rsidRPr="00E93E33">
              <w:rPr>
                <w:rFonts w:asciiTheme="minorHAnsi" w:hAnsiTheme="minorHAnsi"/>
                <w:b/>
                <w:sz w:val="21"/>
                <w:szCs w:val="21"/>
                <w:u w:val="single"/>
              </w:rPr>
              <w:t>Strategy 2.2</w:t>
            </w:r>
            <w:r w:rsidRPr="00E93E33">
              <w:rPr>
                <w:rFonts w:asciiTheme="minorHAnsi" w:hAnsiTheme="minorHAnsi"/>
                <w:sz w:val="21"/>
                <w:szCs w:val="21"/>
              </w:rPr>
              <w:t xml:space="preserve">: Coordinate/provide migratory students with appropriate needs-based </w:t>
            </w:r>
            <w:r w:rsidRPr="00D62930">
              <w:rPr>
                <w:rFonts w:asciiTheme="minorHAnsi" w:hAnsiTheme="minorHAnsi"/>
                <w:b/>
                <w:bCs/>
                <w:sz w:val="21"/>
                <w:szCs w:val="21"/>
              </w:rPr>
              <w:t>support services</w:t>
            </w:r>
            <w:r w:rsidRPr="00E93E33">
              <w:rPr>
                <w:rFonts w:asciiTheme="minorHAnsi" w:hAnsiTheme="minorHAnsi"/>
                <w:sz w:val="21"/>
                <w:szCs w:val="21"/>
              </w:rPr>
              <w:t xml:space="preserve"> (e.g., health and nutrition, educational supplies, interpretation, transportation, access to technology) to increase attendance and achievement in ELA and math.</w:t>
            </w:r>
          </w:p>
        </w:tc>
        <w:tc>
          <w:tcPr>
            <w:tcW w:w="4065" w:type="dxa"/>
            <w:shd w:val="clear" w:color="auto" w:fill="auto"/>
          </w:tcPr>
          <w:p w14:paraId="1056248F" w14:textId="5D20B309" w:rsidR="00E27D68" w:rsidRPr="00E93E33" w:rsidRDefault="00E27D68" w:rsidP="002071F3">
            <w:pPr>
              <w:rPr>
                <w:rFonts w:asciiTheme="minorHAnsi" w:hAnsiTheme="minorHAnsi" w:cs="Arial"/>
                <w:bCs/>
                <w:sz w:val="21"/>
                <w:szCs w:val="21"/>
              </w:rPr>
            </w:pPr>
            <w:r w:rsidRPr="00E93E33">
              <w:rPr>
                <w:rFonts w:asciiTheme="minorHAnsi" w:hAnsiTheme="minorHAnsi" w:cs="Arial"/>
                <w:b/>
                <w:bCs/>
                <w:sz w:val="21"/>
                <w:szCs w:val="21"/>
              </w:rPr>
              <w:t>2b)</w:t>
            </w:r>
            <w:r w:rsidRPr="00E93E33">
              <w:rPr>
                <w:rFonts w:asciiTheme="minorHAnsi" w:hAnsiTheme="minorHAnsi" w:cs="Arial"/>
                <w:bCs/>
                <w:sz w:val="21"/>
                <w:szCs w:val="21"/>
              </w:rPr>
              <w:t xml:space="preserve"> By the end of the </w:t>
            </w:r>
            <w:r w:rsidR="00D14DD7">
              <w:rPr>
                <w:rFonts w:asciiTheme="minorHAnsi" w:hAnsiTheme="minorHAnsi" w:cs="Arial"/>
                <w:bCs/>
                <w:sz w:val="21"/>
                <w:szCs w:val="21"/>
              </w:rPr>
              <w:t>2021-22</w:t>
            </w:r>
            <w:r w:rsidRPr="00E93E33">
              <w:rPr>
                <w:rFonts w:asciiTheme="minorHAnsi" w:hAnsiTheme="minorHAnsi" w:cs="Arial"/>
                <w:bCs/>
                <w:sz w:val="21"/>
                <w:szCs w:val="21"/>
              </w:rPr>
              <w:t xml:space="preserve"> performance period, 75% of K-8 migratory students will receive MEP support services.</w:t>
            </w:r>
          </w:p>
        </w:tc>
        <w:tc>
          <w:tcPr>
            <w:tcW w:w="2700" w:type="dxa"/>
            <w:shd w:val="clear" w:color="auto" w:fill="auto"/>
          </w:tcPr>
          <w:p w14:paraId="53C5441C" w14:textId="77777777" w:rsidR="00E27D68" w:rsidRPr="00E93E33" w:rsidRDefault="00E27D68" w:rsidP="002071F3">
            <w:pPr>
              <w:rPr>
                <w:rFonts w:asciiTheme="minorHAnsi" w:hAnsiTheme="minorHAnsi" w:cs="Arial"/>
                <w:sz w:val="21"/>
                <w:szCs w:val="21"/>
              </w:rPr>
            </w:pPr>
            <w:r w:rsidRPr="00E93E33">
              <w:rPr>
                <w:rFonts w:asciiTheme="minorHAnsi" w:hAnsiTheme="minorHAnsi" w:cs="Arial"/>
                <w:sz w:val="21"/>
                <w:szCs w:val="21"/>
              </w:rPr>
              <w:t>What percentage of eligible migratory students in grades K-8 (PFS &amp; non-PFS) received MEP support services?</w:t>
            </w:r>
          </w:p>
        </w:tc>
        <w:tc>
          <w:tcPr>
            <w:tcW w:w="2561" w:type="dxa"/>
            <w:shd w:val="clear" w:color="auto" w:fill="auto"/>
          </w:tcPr>
          <w:p w14:paraId="51D2CEEC" w14:textId="77777777" w:rsidR="00E27D68" w:rsidRPr="00E93E33" w:rsidRDefault="00E27D68" w:rsidP="002071F3">
            <w:pPr>
              <w:ind w:hanging="9"/>
              <w:rPr>
                <w:rFonts w:asciiTheme="minorHAnsi" w:hAnsiTheme="minorHAnsi" w:cs="Arial"/>
                <w:sz w:val="21"/>
                <w:szCs w:val="21"/>
              </w:rPr>
            </w:pPr>
            <w:r w:rsidRPr="00E93E33">
              <w:rPr>
                <w:rFonts w:asciiTheme="minorHAnsi" w:hAnsiTheme="minorHAnsi" w:cs="Arial"/>
                <w:sz w:val="21"/>
                <w:szCs w:val="21"/>
              </w:rPr>
              <w:t>What type of support services were provided to students?</w:t>
            </w:r>
          </w:p>
        </w:tc>
      </w:tr>
      <w:tr w:rsidR="00E27D68" w:rsidRPr="005613EC" w14:paraId="381A9747" w14:textId="77777777" w:rsidTr="00E93E33">
        <w:trPr>
          <w:jc w:val="center"/>
        </w:trPr>
        <w:tc>
          <w:tcPr>
            <w:tcW w:w="4135" w:type="dxa"/>
          </w:tcPr>
          <w:p w14:paraId="3608D679" w14:textId="77777777" w:rsidR="00E27D68" w:rsidRPr="00E93E33" w:rsidRDefault="00E27D68" w:rsidP="002071F3">
            <w:pPr>
              <w:rPr>
                <w:rFonts w:asciiTheme="minorHAnsi" w:hAnsiTheme="minorHAnsi"/>
                <w:sz w:val="21"/>
                <w:szCs w:val="21"/>
              </w:rPr>
            </w:pPr>
            <w:r w:rsidRPr="00E93E33">
              <w:rPr>
                <w:rFonts w:asciiTheme="minorHAnsi" w:hAnsiTheme="minorHAnsi"/>
                <w:b/>
                <w:sz w:val="21"/>
                <w:szCs w:val="21"/>
                <w:u w:val="single"/>
              </w:rPr>
              <w:t>Strategy 2.3</w:t>
            </w:r>
            <w:r w:rsidRPr="00E93E33">
              <w:rPr>
                <w:rFonts w:asciiTheme="minorHAnsi" w:hAnsiTheme="minorHAnsi"/>
                <w:sz w:val="21"/>
                <w:szCs w:val="21"/>
              </w:rPr>
              <w:t xml:space="preserve">: Coordinate/provide </w:t>
            </w:r>
            <w:r w:rsidRPr="00D62930">
              <w:rPr>
                <w:rFonts w:asciiTheme="minorHAnsi" w:hAnsiTheme="minorHAnsi"/>
                <w:b/>
                <w:bCs/>
                <w:sz w:val="21"/>
                <w:szCs w:val="21"/>
              </w:rPr>
              <w:t>FACE opportunities</w:t>
            </w:r>
            <w:r w:rsidRPr="00E93E33">
              <w:rPr>
                <w:rFonts w:asciiTheme="minorHAnsi" w:hAnsiTheme="minorHAnsi"/>
                <w:sz w:val="21"/>
                <w:szCs w:val="21"/>
              </w:rPr>
              <w:t xml:space="preserve"> that help families support academic development in ELA and math.</w:t>
            </w:r>
          </w:p>
        </w:tc>
        <w:tc>
          <w:tcPr>
            <w:tcW w:w="4065" w:type="dxa"/>
            <w:shd w:val="clear" w:color="auto" w:fill="auto"/>
          </w:tcPr>
          <w:p w14:paraId="0C18AC03" w14:textId="5B0F30CC" w:rsidR="00E27D68" w:rsidRPr="00E93E33" w:rsidRDefault="00E27D68" w:rsidP="002071F3">
            <w:pPr>
              <w:rPr>
                <w:rFonts w:asciiTheme="minorHAnsi" w:hAnsiTheme="minorHAnsi" w:cs="Arial"/>
                <w:bCs/>
                <w:sz w:val="21"/>
                <w:szCs w:val="21"/>
              </w:rPr>
            </w:pPr>
            <w:r w:rsidRPr="00E93E33">
              <w:rPr>
                <w:rFonts w:asciiTheme="minorHAnsi" w:hAnsiTheme="minorHAnsi" w:cs="Arial"/>
                <w:b/>
                <w:bCs/>
                <w:sz w:val="21"/>
                <w:szCs w:val="21"/>
              </w:rPr>
              <w:t>2c)</w:t>
            </w:r>
            <w:r w:rsidRPr="00E93E33">
              <w:rPr>
                <w:rFonts w:asciiTheme="minorHAnsi" w:hAnsiTheme="minorHAnsi" w:cs="Arial"/>
                <w:bCs/>
                <w:sz w:val="21"/>
                <w:szCs w:val="21"/>
              </w:rPr>
              <w:t xml:space="preserve"> By the end of the </w:t>
            </w:r>
            <w:r w:rsidR="00D14DD7">
              <w:rPr>
                <w:rFonts w:asciiTheme="minorHAnsi" w:hAnsiTheme="minorHAnsi" w:cs="Arial"/>
                <w:bCs/>
                <w:sz w:val="21"/>
                <w:szCs w:val="21"/>
              </w:rPr>
              <w:t>2021-22</w:t>
            </w:r>
            <w:r w:rsidRPr="00E93E33">
              <w:rPr>
                <w:rFonts w:asciiTheme="minorHAnsi" w:hAnsiTheme="minorHAnsi" w:cs="Arial"/>
                <w:bCs/>
                <w:sz w:val="21"/>
                <w:szCs w:val="21"/>
              </w:rPr>
              <w:t xml:space="preserve"> performance period, 90% of parent/ family members of migratory students who participated in MEP FACE/PAC opportunities will indicate that they gained knowledge on how to support students in ELA/math.</w:t>
            </w:r>
          </w:p>
        </w:tc>
        <w:tc>
          <w:tcPr>
            <w:tcW w:w="2700" w:type="dxa"/>
            <w:shd w:val="clear" w:color="auto" w:fill="auto"/>
          </w:tcPr>
          <w:p w14:paraId="298BB094" w14:textId="77777777" w:rsidR="00E27D68" w:rsidRPr="00E93E33" w:rsidRDefault="00E27D68" w:rsidP="002071F3">
            <w:pPr>
              <w:rPr>
                <w:rFonts w:asciiTheme="minorHAnsi" w:hAnsiTheme="minorHAnsi" w:cs="Arial"/>
                <w:sz w:val="21"/>
                <w:szCs w:val="21"/>
              </w:rPr>
            </w:pPr>
            <w:r w:rsidRPr="00E93E33">
              <w:rPr>
                <w:rFonts w:asciiTheme="minorHAnsi" w:hAnsiTheme="minorHAnsi" w:cs="Arial"/>
                <w:sz w:val="21"/>
                <w:szCs w:val="21"/>
              </w:rPr>
              <w:t xml:space="preserve">What percentage of parents reported that they gained knowledge of how to support their children in ELA and math? </w:t>
            </w:r>
          </w:p>
        </w:tc>
        <w:tc>
          <w:tcPr>
            <w:tcW w:w="2561" w:type="dxa"/>
            <w:shd w:val="clear" w:color="auto" w:fill="auto"/>
          </w:tcPr>
          <w:p w14:paraId="6F01EE29" w14:textId="77777777" w:rsidR="00E27D68" w:rsidRPr="00E93E33" w:rsidRDefault="00E27D68" w:rsidP="002071F3">
            <w:pPr>
              <w:ind w:hanging="9"/>
              <w:rPr>
                <w:rFonts w:asciiTheme="minorHAnsi" w:hAnsiTheme="minorHAnsi" w:cs="Arial"/>
                <w:sz w:val="21"/>
                <w:szCs w:val="21"/>
              </w:rPr>
            </w:pPr>
            <w:r w:rsidRPr="00E93E33">
              <w:rPr>
                <w:rFonts w:asciiTheme="minorHAnsi" w:hAnsiTheme="minorHAnsi" w:cs="Arial"/>
                <w:sz w:val="21"/>
                <w:szCs w:val="21"/>
              </w:rPr>
              <w:t>What topics were addressed during FACE/PAC opportunities?</w:t>
            </w:r>
          </w:p>
        </w:tc>
      </w:tr>
      <w:tr w:rsidR="00E27D68" w:rsidRPr="005613EC" w14:paraId="0C0F66B5" w14:textId="77777777" w:rsidTr="00E93E33">
        <w:trPr>
          <w:jc w:val="center"/>
        </w:trPr>
        <w:tc>
          <w:tcPr>
            <w:tcW w:w="4135" w:type="dxa"/>
            <w:tcBorders>
              <w:bottom w:val="single" w:sz="4" w:space="0" w:color="auto"/>
            </w:tcBorders>
          </w:tcPr>
          <w:p w14:paraId="6F2A4659" w14:textId="77777777" w:rsidR="00E27D68" w:rsidRPr="00E93E33" w:rsidRDefault="00E27D68" w:rsidP="002071F3">
            <w:pPr>
              <w:rPr>
                <w:rFonts w:asciiTheme="minorHAnsi" w:hAnsiTheme="minorHAnsi"/>
                <w:sz w:val="21"/>
                <w:szCs w:val="21"/>
              </w:rPr>
            </w:pPr>
            <w:r w:rsidRPr="00E93E33">
              <w:rPr>
                <w:rFonts w:asciiTheme="minorHAnsi" w:hAnsiTheme="minorHAnsi"/>
                <w:b/>
                <w:sz w:val="21"/>
                <w:szCs w:val="21"/>
                <w:u w:val="single"/>
              </w:rPr>
              <w:t>Strategy 2.4</w:t>
            </w:r>
            <w:r w:rsidRPr="00E93E33">
              <w:rPr>
                <w:rFonts w:asciiTheme="minorHAnsi" w:hAnsiTheme="minorHAnsi"/>
                <w:sz w:val="21"/>
                <w:szCs w:val="21"/>
              </w:rPr>
              <w:t xml:space="preserve">: Provide </w:t>
            </w:r>
            <w:r w:rsidRPr="00D62930">
              <w:rPr>
                <w:rFonts w:asciiTheme="minorHAnsi" w:hAnsiTheme="minorHAnsi"/>
                <w:b/>
                <w:bCs/>
                <w:sz w:val="21"/>
                <w:szCs w:val="21"/>
              </w:rPr>
              <w:t>professional learning</w:t>
            </w:r>
            <w:r w:rsidRPr="00E93E33">
              <w:rPr>
                <w:rFonts w:asciiTheme="minorHAnsi" w:hAnsiTheme="minorHAnsi"/>
                <w:sz w:val="21"/>
                <w:szCs w:val="21"/>
              </w:rPr>
              <w:t xml:space="preserve"> opportunities to prepare staff to address the unique educational needs of migratory students (e.g., academic, cultural, language, poverty, mobility) using evidence-based strategies for ELA and math instruction.</w:t>
            </w:r>
          </w:p>
        </w:tc>
        <w:tc>
          <w:tcPr>
            <w:tcW w:w="4065" w:type="dxa"/>
            <w:tcBorders>
              <w:bottom w:val="single" w:sz="4" w:space="0" w:color="auto"/>
            </w:tcBorders>
            <w:shd w:val="clear" w:color="auto" w:fill="auto"/>
          </w:tcPr>
          <w:p w14:paraId="43D9B014" w14:textId="648AFD0A" w:rsidR="00E27D68" w:rsidRPr="00E93E33" w:rsidRDefault="00E27D68" w:rsidP="002071F3">
            <w:pPr>
              <w:rPr>
                <w:rFonts w:asciiTheme="minorHAnsi" w:hAnsiTheme="minorHAnsi" w:cs="Arial"/>
                <w:bCs/>
                <w:sz w:val="21"/>
                <w:szCs w:val="21"/>
              </w:rPr>
            </w:pPr>
            <w:r w:rsidRPr="00E93E33">
              <w:rPr>
                <w:rFonts w:asciiTheme="minorHAnsi" w:hAnsiTheme="minorHAnsi" w:cs="Arial"/>
                <w:b/>
                <w:bCs/>
                <w:sz w:val="21"/>
                <w:szCs w:val="21"/>
              </w:rPr>
              <w:t>2d)</w:t>
            </w:r>
            <w:r w:rsidRPr="00E93E33">
              <w:rPr>
                <w:rFonts w:asciiTheme="minorHAnsi" w:hAnsiTheme="minorHAnsi" w:cs="Arial"/>
                <w:bCs/>
                <w:sz w:val="21"/>
                <w:szCs w:val="21"/>
              </w:rPr>
              <w:t xml:space="preserve"> By the end of the </w:t>
            </w:r>
            <w:r w:rsidR="00D14DD7">
              <w:rPr>
                <w:rFonts w:asciiTheme="minorHAnsi" w:hAnsiTheme="minorHAnsi" w:cs="Arial"/>
                <w:bCs/>
                <w:sz w:val="21"/>
                <w:szCs w:val="21"/>
              </w:rPr>
              <w:t>2021-22</w:t>
            </w:r>
            <w:r w:rsidRPr="00E93E33">
              <w:rPr>
                <w:rFonts w:asciiTheme="minorHAnsi" w:hAnsiTheme="minorHAnsi" w:cs="Arial"/>
                <w:bCs/>
                <w:sz w:val="21"/>
                <w:szCs w:val="21"/>
              </w:rPr>
              <w:t xml:space="preserve"> performance period, 8</w:t>
            </w:r>
            <w:r w:rsidR="00F20442">
              <w:rPr>
                <w:rFonts w:asciiTheme="minorHAnsi" w:hAnsiTheme="minorHAnsi" w:cs="Arial"/>
                <w:bCs/>
                <w:sz w:val="21"/>
                <w:szCs w:val="21"/>
              </w:rPr>
              <w:t>0</w:t>
            </w:r>
            <w:r w:rsidRPr="00E93E33">
              <w:rPr>
                <w:rFonts w:asciiTheme="minorHAnsi" w:hAnsiTheme="minorHAnsi" w:cs="Arial"/>
                <w:bCs/>
                <w:sz w:val="21"/>
                <w:szCs w:val="21"/>
              </w:rPr>
              <w:t>% of staff who participated in professional learning will have a statistically significant gain on a pre/post survey in their knowledge of evidence-based strategies to address the ELA/math needs of migratory students.</w:t>
            </w:r>
          </w:p>
        </w:tc>
        <w:tc>
          <w:tcPr>
            <w:tcW w:w="2700" w:type="dxa"/>
            <w:shd w:val="clear" w:color="auto" w:fill="auto"/>
          </w:tcPr>
          <w:p w14:paraId="1144D0E6" w14:textId="77777777" w:rsidR="00E27D68" w:rsidRPr="00E93E33" w:rsidRDefault="00E27D68" w:rsidP="002071F3">
            <w:pPr>
              <w:rPr>
                <w:rFonts w:asciiTheme="minorHAnsi" w:hAnsiTheme="minorHAnsi" w:cs="Arial"/>
                <w:sz w:val="21"/>
                <w:szCs w:val="21"/>
              </w:rPr>
            </w:pPr>
            <w:r w:rsidRPr="00E93E33">
              <w:rPr>
                <w:rFonts w:asciiTheme="minorHAnsi" w:hAnsiTheme="minorHAnsi" w:cs="Arial"/>
                <w:sz w:val="21"/>
                <w:szCs w:val="21"/>
              </w:rPr>
              <w:t>What percentage of staff showed a statistically significant gain on a pre/post assessment?</w:t>
            </w:r>
          </w:p>
        </w:tc>
        <w:tc>
          <w:tcPr>
            <w:tcW w:w="2561" w:type="dxa"/>
            <w:shd w:val="clear" w:color="auto" w:fill="auto"/>
          </w:tcPr>
          <w:p w14:paraId="180ED509" w14:textId="77777777" w:rsidR="00E27D68" w:rsidRPr="00E93E33" w:rsidRDefault="00E27D68" w:rsidP="002071F3">
            <w:pPr>
              <w:ind w:hanging="9"/>
              <w:rPr>
                <w:rFonts w:asciiTheme="minorHAnsi" w:hAnsiTheme="minorHAnsi" w:cs="Arial"/>
                <w:sz w:val="21"/>
                <w:szCs w:val="21"/>
              </w:rPr>
            </w:pPr>
            <w:r w:rsidRPr="00E93E33">
              <w:rPr>
                <w:rFonts w:asciiTheme="minorHAnsi" w:hAnsiTheme="minorHAnsi" w:cs="Arial"/>
                <w:sz w:val="21"/>
                <w:szCs w:val="21"/>
              </w:rPr>
              <w:t>What ELA/math professional learning was provided to staff?</w:t>
            </w:r>
          </w:p>
        </w:tc>
      </w:tr>
    </w:tbl>
    <w:p w14:paraId="45E3D637" w14:textId="7A364C7F" w:rsidR="00E27D68" w:rsidRDefault="00E27D68" w:rsidP="00E27D68">
      <w:pPr>
        <w:rPr>
          <w:sz w:val="28"/>
        </w:rPr>
      </w:pPr>
    </w:p>
    <w:p w14:paraId="509DD91E" w14:textId="77777777" w:rsidR="00E27D68" w:rsidRPr="000B00F4" w:rsidRDefault="00E27D68" w:rsidP="00E27D68">
      <w:pPr>
        <w:spacing w:after="120"/>
        <w:rPr>
          <w:rFonts w:ascii="Arial Black" w:hAnsi="Arial Black" w:cs="Arial"/>
          <w:b/>
          <w:noProof/>
          <w:color w:val="385623" w:themeColor="accent6" w:themeShade="80"/>
          <w:sz w:val="20"/>
          <w:szCs w:val="20"/>
        </w:rPr>
      </w:pPr>
      <w:r w:rsidRPr="000B00F4">
        <w:rPr>
          <w:rFonts w:ascii="Arial Black" w:hAnsi="Arial Black" w:cs="Arial"/>
          <w:b/>
          <w:color w:val="385623" w:themeColor="accent6" w:themeShade="80"/>
          <w:sz w:val="24"/>
        </w:rPr>
        <w:t>GOAL AREA #3: HIGH SCHOOL GRADUATION/SERVICES TO OUT-OF-SCHOOL YOUTH (OSY)</w:t>
      </w:r>
      <w:r w:rsidRPr="000B00F4">
        <w:rPr>
          <w:rFonts w:ascii="Arial Black" w:hAnsi="Arial Black" w:cs="Arial"/>
          <w:b/>
          <w:noProof/>
          <w:color w:val="385623" w:themeColor="accent6" w:themeShade="80"/>
          <w:sz w:val="20"/>
          <w:szCs w:val="20"/>
        </w:rPr>
        <w:t xml:space="preserve"> </w:t>
      </w:r>
    </w:p>
    <w:p w14:paraId="529F2545" w14:textId="604A6239" w:rsidR="00E27D68" w:rsidRPr="006130E7" w:rsidRDefault="00E27D68" w:rsidP="00E27D68">
      <w:pPr>
        <w:pStyle w:val="BodyText"/>
        <w:spacing w:after="0"/>
        <w:rPr>
          <w:rFonts w:asciiTheme="minorHAnsi" w:hAnsiTheme="minorHAnsi"/>
          <w:i/>
          <w:szCs w:val="20"/>
        </w:rPr>
      </w:pPr>
      <w:r w:rsidRPr="006130E7">
        <w:rPr>
          <w:rFonts w:asciiTheme="minorHAnsi" w:hAnsiTheme="minorHAnsi"/>
          <w:b/>
          <w:szCs w:val="20"/>
          <w:u w:val="single"/>
        </w:rPr>
        <w:t>State Performance Target</w:t>
      </w:r>
      <w:r w:rsidRPr="006130E7">
        <w:rPr>
          <w:rFonts w:asciiTheme="minorHAnsi" w:hAnsiTheme="minorHAnsi"/>
          <w:b/>
          <w:szCs w:val="20"/>
        </w:rPr>
        <w:t xml:space="preserve">: </w:t>
      </w:r>
      <w:r w:rsidRPr="006130E7">
        <w:rPr>
          <w:rFonts w:asciiTheme="minorHAnsi" w:hAnsiTheme="minorHAnsi"/>
          <w:szCs w:val="20"/>
        </w:rPr>
        <w:t xml:space="preserve">In </w:t>
      </w:r>
      <w:r w:rsidR="00D14DD7">
        <w:rPr>
          <w:rFonts w:asciiTheme="minorHAnsi" w:hAnsiTheme="minorHAnsi"/>
          <w:szCs w:val="20"/>
        </w:rPr>
        <w:t>2021-22</w:t>
      </w:r>
      <w:r w:rsidRPr="006130E7">
        <w:rPr>
          <w:rFonts w:asciiTheme="minorHAnsi" w:hAnsiTheme="minorHAnsi"/>
          <w:szCs w:val="20"/>
        </w:rPr>
        <w:t>, 9</w:t>
      </w:r>
      <w:r w:rsidR="005A45FC">
        <w:rPr>
          <w:rFonts w:asciiTheme="minorHAnsi" w:hAnsiTheme="minorHAnsi"/>
          <w:szCs w:val="20"/>
        </w:rPr>
        <w:t>1.65</w:t>
      </w:r>
      <w:r w:rsidRPr="006130E7">
        <w:rPr>
          <w:rFonts w:asciiTheme="minorHAnsi" w:hAnsiTheme="minorHAnsi"/>
          <w:szCs w:val="20"/>
        </w:rPr>
        <w:t>% of all students will graduate from high school.</w:t>
      </w:r>
    </w:p>
    <w:p w14:paraId="3E65ABF2" w14:textId="77777777" w:rsidR="00E27D68" w:rsidRPr="006130E7" w:rsidRDefault="00E27D68" w:rsidP="00E27D68">
      <w:pPr>
        <w:pStyle w:val="BodyText"/>
        <w:spacing w:before="120"/>
        <w:rPr>
          <w:rFonts w:asciiTheme="minorHAnsi" w:hAnsiTheme="minorHAnsi"/>
          <w:szCs w:val="20"/>
        </w:rPr>
      </w:pPr>
      <w:r w:rsidRPr="006130E7">
        <w:rPr>
          <w:rFonts w:asciiTheme="minorHAnsi" w:hAnsiTheme="minorHAnsi"/>
          <w:b/>
          <w:szCs w:val="20"/>
          <w:u w:val="single"/>
        </w:rPr>
        <w:t>Concern Statement</w:t>
      </w:r>
      <w:r w:rsidRPr="006130E7">
        <w:rPr>
          <w:rFonts w:asciiTheme="minorHAnsi" w:hAnsiTheme="minorHAnsi"/>
          <w:b/>
          <w:szCs w:val="20"/>
        </w:rPr>
        <w:t xml:space="preserve">: </w:t>
      </w:r>
      <w:r w:rsidRPr="006130E7">
        <w:rPr>
          <w:rFonts w:asciiTheme="minorHAnsi" w:hAnsiTheme="minorHAnsi"/>
          <w:szCs w:val="20"/>
        </w:rPr>
        <w:t>We are concerned that as a result of migrancy, migratory secondary students, especially English learners/PFS students, have a lack of information about credits, grades, and academic accomplishments and lack of access to instructional/support services resulting in a lower graduation rate than their peers.</w:t>
      </w:r>
    </w:p>
    <w:p w14:paraId="5D82419F" w14:textId="77777777" w:rsidR="00E27D68" w:rsidRPr="006130E7" w:rsidRDefault="00E27D68" w:rsidP="00E27D68">
      <w:pPr>
        <w:pStyle w:val="BodyText"/>
        <w:spacing w:after="0"/>
        <w:rPr>
          <w:rFonts w:asciiTheme="minorHAnsi" w:hAnsiTheme="minorHAnsi"/>
          <w:szCs w:val="20"/>
        </w:rPr>
      </w:pPr>
      <w:r w:rsidRPr="006130E7">
        <w:rPr>
          <w:rFonts w:asciiTheme="minorHAnsi" w:hAnsiTheme="minorHAnsi"/>
          <w:b/>
          <w:szCs w:val="20"/>
          <w:u w:val="single"/>
        </w:rPr>
        <w:t>Data Summary</w:t>
      </w:r>
      <w:r w:rsidRPr="006130E7">
        <w:rPr>
          <w:rFonts w:asciiTheme="minorHAnsi" w:hAnsiTheme="minorHAnsi"/>
          <w:b/>
          <w:szCs w:val="20"/>
        </w:rPr>
        <w:t xml:space="preserve">: </w:t>
      </w:r>
      <w:r w:rsidRPr="006130E7">
        <w:rPr>
          <w:rFonts w:asciiTheme="minorHAnsi" w:hAnsiTheme="minorHAnsi"/>
          <w:szCs w:val="20"/>
        </w:rPr>
        <w:t>The migratory student graduation rate for 2017-18 was 79.4% (63.8% for PFS students) compared to non-migratory students (88.6%), and the State Performance Target (89.8%).</w:t>
      </w:r>
    </w:p>
    <w:p w14:paraId="691C6160" w14:textId="77777777" w:rsidR="00E27D68" w:rsidRPr="006130E7" w:rsidRDefault="00E27D68" w:rsidP="00E27D68">
      <w:pPr>
        <w:pStyle w:val="BodyText"/>
        <w:spacing w:before="120" w:after="0"/>
        <w:rPr>
          <w:rFonts w:asciiTheme="minorHAnsi" w:hAnsiTheme="minorHAnsi"/>
          <w:szCs w:val="20"/>
        </w:rPr>
      </w:pPr>
      <w:r w:rsidRPr="006130E7">
        <w:rPr>
          <w:rFonts w:asciiTheme="minorHAnsi" w:hAnsiTheme="minorHAnsi"/>
          <w:b/>
          <w:szCs w:val="20"/>
          <w:u w:val="single"/>
        </w:rPr>
        <w:t>Need Statement</w:t>
      </w:r>
      <w:r w:rsidRPr="006130E7">
        <w:rPr>
          <w:rFonts w:asciiTheme="minorHAnsi" w:hAnsiTheme="minorHAnsi"/>
          <w:b/>
          <w:szCs w:val="20"/>
        </w:rPr>
        <w:t>:</w:t>
      </w:r>
      <w:r w:rsidRPr="006130E7">
        <w:rPr>
          <w:rFonts w:asciiTheme="minorHAnsi" w:hAnsiTheme="minorHAnsi"/>
          <w:szCs w:val="20"/>
        </w:rPr>
        <w:t xml:space="preserve"> The migratory student graduation rate needs to increase by 10.4% (24.8% for PFS students) to eliminate the gap between migratory and non-migratory students, and by 10.4% (26% for PFS students) to meet the State Performance Target. </w:t>
      </w:r>
    </w:p>
    <w:p w14:paraId="00D0A04E" w14:textId="77777777" w:rsidR="00E27D68" w:rsidRDefault="00E27D68" w:rsidP="00E27D68">
      <w:pPr>
        <w:pStyle w:val="Default"/>
        <w:rPr>
          <w:rFonts w:asciiTheme="minorHAnsi" w:eastAsia="Calibri Light" w:hAnsiTheme="minorHAnsi" w:cs="Arial"/>
          <w:szCs w:val="28"/>
        </w:r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3975"/>
        <w:gridCol w:w="2610"/>
        <w:gridCol w:w="2605"/>
      </w:tblGrid>
      <w:tr w:rsidR="00E27D68" w:rsidRPr="007D2F9C" w14:paraId="197BDEF4" w14:textId="77777777" w:rsidTr="0029373E">
        <w:trPr>
          <w:tblHeader/>
          <w:jc w:val="center"/>
        </w:trPr>
        <w:tc>
          <w:tcPr>
            <w:tcW w:w="4135" w:type="dxa"/>
            <w:shd w:val="clear" w:color="auto" w:fill="538135" w:themeFill="accent6" w:themeFillShade="BF"/>
            <w:vAlign w:val="bottom"/>
          </w:tcPr>
          <w:p w14:paraId="5EA2908C"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Strategies</w:t>
            </w:r>
          </w:p>
        </w:tc>
        <w:tc>
          <w:tcPr>
            <w:tcW w:w="3975" w:type="dxa"/>
            <w:shd w:val="clear" w:color="auto" w:fill="538135" w:themeFill="accent6" w:themeFillShade="BF"/>
            <w:vAlign w:val="bottom"/>
          </w:tcPr>
          <w:p w14:paraId="1D903E41" w14:textId="77777777" w:rsidR="00E27D68"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Measurable Program</w:t>
            </w:r>
          </w:p>
          <w:p w14:paraId="41B0F810"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Outcomes (MPOs)</w:t>
            </w:r>
          </w:p>
        </w:tc>
        <w:tc>
          <w:tcPr>
            <w:tcW w:w="2610" w:type="dxa"/>
            <w:shd w:val="clear" w:color="auto" w:fill="538135" w:themeFill="accent6" w:themeFillShade="BF"/>
            <w:vAlign w:val="bottom"/>
          </w:tcPr>
          <w:p w14:paraId="3D295D59"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Evaluation Questions for</w:t>
            </w:r>
          </w:p>
          <w:p w14:paraId="76EEE982"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Program Results</w:t>
            </w:r>
          </w:p>
        </w:tc>
        <w:tc>
          <w:tcPr>
            <w:tcW w:w="2605" w:type="dxa"/>
            <w:shd w:val="clear" w:color="auto" w:fill="538135" w:themeFill="accent6" w:themeFillShade="BF"/>
            <w:vAlign w:val="bottom"/>
          </w:tcPr>
          <w:p w14:paraId="468119AF"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Evaluation Questions for</w:t>
            </w:r>
          </w:p>
          <w:p w14:paraId="61C33958" w14:textId="77777777" w:rsidR="00E27D68" w:rsidRPr="006C66AE" w:rsidRDefault="00E27D68" w:rsidP="002071F3">
            <w:pPr>
              <w:jc w:val="center"/>
              <w:rPr>
                <w:rFonts w:asciiTheme="minorHAnsi" w:hAnsiTheme="minorHAnsi" w:cs="Arial"/>
                <w:b/>
                <w:color w:val="FFFFFF" w:themeColor="background1"/>
                <w:szCs w:val="20"/>
              </w:rPr>
            </w:pPr>
            <w:r w:rsidRPr="006C66AE">
              <w:rPr>
                <w:rFonts w:asciiTheme="minorHAnsi" w:hAnsiTheme="minorHAnsi" w:cs="Arial"/>
                <w:b/>
                <w:color w:val="FFFFFF" w:themeColor="background1"/>
                <w:szCs w:val="20"/>
              </w:rPr>
              <w:t>Program Implementation</w:t>
            </w:r>
          </w:p>
        </w:tc>
      </w:tr>
      <w:tr w:rsidR="00E27D68" w:rsidRPr="007D2F9C" w14:paraId="681BBD81" w14:textId="77777777" w:rsidTr="0029373E">
        <w:trPr>
          <w:jc w:val="center"/>
        </w:trPr>
        <w:tc>
          <w:tcPr>
            <w:tcW w:w="4135" w:type="dxa"/>
          </w:tcPr>
          <w:p w14:paraId="40250564" w14:textId="77777777" w:rsidR="00E27D68" w:rsidRPr="006C66AE" w:rsidRDefault="00E27D68" w:rsidP="002071F3">
            <w:pPr>
              <w:pStyle w:val="TableParagraph"/>
              <w:rPr>
                <w:rFonts w:eastAsia="Calibri Light" w:cs="Calibri Light"/>
              </w:rPr>
            </w:pPr>
            <w:r w:rsidRPr="006C66AE">
              <w:rPr>
                <w:rFonts w:eastAsia="Calibri Light" w:cstheme="minorHAnsi"/>
                <w:b/>
                <w:u w:val="single"/>
              </w:rPr>
              <w:t>Strategy 3.1</w:t>
            </w:r>
            <w:r w:rsidRPr="006C66AE">
              <w:rPr>
                <w:rFonts w:eastAsia="Calibri Light" w:cstheme="minorHAnsi"/>
              </w:rPr>
              <w:t xml:space="preserve">: </w:t>
            </w:r>
            <w:r w:rsidRPr="006C66AE">
              <w:rPr>
                <w:rFonts w:eastAsia="Calibri Light" w:cs="Calibri Light"/>
              </w:rPr>
              <w:t xml:space="preserve">Coordinate/provide secondary </w:t>
            </w:r>
            <w:r>
              <w:rPr>
                <w:rFonts w:eastAsia="Calibri Light" w:cs="Calibri Light"/>
              </w:rPr>
              <w:t>migratory</w:t>
            </w:r>
            <w:r w:rsidRPr="006C66AE">
              <w:rPr>
                <w:rFonts w:eastAsia="Calibri Light" w:cs="Calibri Light"/>
              </w:rPr>
              <w:t xml:space="preserve"> students (grades 9-12) and OSY with evidence-based supplemental </w:t>
            </w:r>
            <w:r w:rsidRPr="00D62930">
              <w:rPr>
                <w:rFonts w:eastAsia="Calibri Light" w:cs="Calibri Light"/>
                <w:b/>
                <w:bCs/>
              </w:rPr>
              <w:t>instructional services</w:t>
            </w:r>
            <w:r w:rsidRPr="006C66AE">
              <w:rPr>
                <w:rFonts w:eastAsia="Calibri Light" w:cs="Calibri Light"/>
              </w:rPr>
              <w:t xml:space="preserve"> to support their achievement of graduation, GED, college, career, and/or life readiness goals.</w:t>
            </w:r>
          </w:p>
        </w:tc>
        <w:tc>
          <w:tcPr>
            <w:tcW w:w="3975" w:type="dxa"/>
            <w:shd w:val="clear" w:color="auto" w:fill="auto"/>
          </w:tcPr>
          <w:p w14:paraId="674CA37E" w14:textId="426EA7CC" w:rsidR="00E27D68" w:rsidRPr="006C66AE" w:rsidRDefault="00E27D68" w:rsidP="002071F3">
            <w:pPr>
              <w:rPr>
                <w:rFonts w:asciiTheme="minorHAnsi" w:hAnsiTheme="minorHAnsi" w:cs="Arial"/>
                <w:bCs/>
                <w:szCs w:val="20"/>
              </w:rPr>
            </w:pPr>
            <w:r w:rsidRPr="006C66AE">
              <w:rPr>
                <w:rFonts w:asciiTheme="minorHAnsi" w:hAnsiTheme="minorHAnsi" w:cs="Arial"/>
                <w:b/>
                <w:bCs/>
                <w:szCs w:val="20"/>
              </w:rPr>
              <w:t>3a)</w:t>
            </w:r>
            <w:r w:rsidRPr="006C66AE">
              <w:rPr>
                <w:rFonts w:asciiTheme="minorHAnsi" w:hAnsiTheme="minorHAnsi" w:cs="Arial"/>
                <w:bCs/>
                <w:szCs w:val="20"/>
              </w:rPr>
              <w:t xml:space="preserve"> By the end of the </w:t>
            </w:r>
            <w:r w:rsidR="00D14DD7">
              <w:rPr>
                <w:rFonts w:asciiTheme="minorHAnsi" w:hAnsiTheme="minorHAnsi" w:cs="Arial"/>
                <w:bCs/>
                <w:szCs w:val="20"/>
              </w:rPr>
              <w:t>2021-22</w:t>
            </w:r>
            <w:r w:rsidRPr="006C66AE">
              <w:rPr>
                <w:rFonts w:asciiTheme="minorHAnsi" w:hAnsiTheme="minorHAnsi" w:cs="Arial"/>
                <w:bCs/>
                <w:szCs w:val="20"/>
              </w:rPr>
              <w:t xml:space="preserve"> performance period, 45% of eligible secondary students (grades 9-12) and OSY will receive MEP supplemental instructional services.</w:t>
            </w:r>
          </w:p>
        </w:tc>
        <w:tc>
          <w:tcPr>
            <w:tcW w:w="2610" w:type="dxa"/>
            <w:shd w:val="clear" w:color="auto" w:fill="auto"/>
          </w:tcPr>
          <w:p w14:paraId="022914A2" w14:textId="77777777" w:rsidR="00E27D68" w:rsidRPr="006C66AE" w:rsidRDefault="00E27D68" w:rsidP="002071F3">
            <w:pPr>
              <w:rPr>
                <w:rFonts w:asciiTheme="minorHAnsi" w:hAnsiTheme="minorHAnsi" w:cs="Arial"/>
                <w:szCs w:val="20"/>
              </w:rPr>
            </w:pPr>
            <w:r w:rsidRPr="006C66AE">
              <w:rPr>
                <w:rFonts w:asciiTheme="minorHAnsi" w:hAnsiTheme="minorHAnsi" w:cs="Arial"/>
                <w:szCs w:val="20"/>
              </w:rPr>
              <w:t xml:space="preserve">What percentage of eligible secondary </w:t>
            </w:r>
            <w:r>
              <w:rPr>
                <w:rFonts w:asciiTheme="minorHAnsi" w:hAnsiTheme="minorHAnsi" w:cs="Arial"/>
                <w:szCs w:val="20"/>
              </w:rPr>
              <w:t>migratory</w:t>
            </w:r>
            <w:r w:rsidRPr="006C66AE">
              <w:rPr>
                <w:rFonts w:asciiTheme="minorHAnsi" w:hAnsiTheme="minorHAnsi" w:cs="Arial"/>
                <w:szCs w:val="20"/>
              </w:rPr>
              <w:t xml:space="preserve"> students and OSY (PFS &amp; non-PFS) received MEP supplemental instructional services?</w:t>
            </w:r>
          </w:p>
        </w:tc>
        <w:tc>
          <w:tcPr>
            <w:tcW w:w="2605" w:type="dxa"/>
            <w:shd w:val="clear" w:color="auto" w:fill="auto"/>
          </w:tcPr>
          <w:p w14:paraId="7D0947FD" w14:textId="77777777" w:rsidR="00E27D68" w:rsidRPr="006C66AE" w:rsidRDefault="00E27D68" w:rsidP="002071F3">
            <w:pPr>
              <w:ind w:hanging="9"/>
              <w:rPr>
                <w:rFonts w:asciiTheme="minorHAnsi" w:hAnsiTheme="minorHAnsi" w:cs="Arial"/>
                <w:szCs w:val="20"/>
              </w:rPr>
            </w:pPr>
            <w:r w:rsidRPr="006C66AE">
              <w:rPr>
                <w:rFonts w:asciiTheme="minorHAnsi" w:hAnsiTheme="minorHAnsi" w:cs="Arial"/>
                <w:szCs w:val="20"/>
              </w:rPr>
              <w:t>What types of supplemental instructional services contributed to student success?</w:t>
            </w:r>
          </w:p>
        </w:tc>
      </w:tr>
      <w:tr w:rsidR="00E27D68" w:rsidRPr="007D2F9C" w14:paraId="2E5C5887" w14:textId="77777777" w:rsidTr="0029373E">
        <w:trPr>
          <w:jc w:val="center"/>
        </w:trPr>
        <w:tc>
          <w:tcPr>
            <w:tcW w:w="4135" w:type="dxa"/>
          </w:tcPr>
          <w:p w14:paraId="0B41F3BB" w14:textId="77777777" w:rsidR="00E27D68" w:rsidRPr="006C66AE" w:rsidRDefault="00E27D68" w:rsidP="002071F3">
            <w:pPr>
              <w:pStyle w:val="TableParagraph"/>
              <w:rPr>
                <w:rFonts w:eastAsia="Calibri Light" w:cs="Calibri Light"/>
              </w:rPr>
            </w:pPr>
            <w:r w:rsidRPr="006C66AE">
              <w:rPr>
                <w:rFonts w:eastAsia="Calibri Light" w:cstheme="minorHAnsi"/>
                <w:b/>
                <w:u w:val="single"/>
              </w:rPr>
              <w:t>Strategy 3.2</w:t>
            </w:r>
            <w:r w:rsidRPr="006C66AE">
              <w:rPr>
                <w:rFonts w:eastAsia="Calibri Light" w:cstheme="minorHAnsi"/>
              </w:rPr>
              <w:t xml:space="preserve">: </w:t>
            </w:r>
            <w:r w:rsidRPr="006C66AE">
              <w:rPr>
                <w:rFonts w:eastAsia="Calibri Light" w:cs="Calibri Light"/>
              </w:rPr>
              <w:t xml:space="preserve">Coordinate/provide appropriate needs-based </w:t>
            </w:r>
            <w:r w:rsidRPr="00D62930">
              <w:rPr>
                <w:rFonts w:eastAsia="Calibri Light" w:cs="Calibri Light"/>
                <w:b/>
                <w:bCs/>
              </w:rPr>
              <w:t>support services</w:t>
            </w:r>
            <w:r w:rsidRPr="006C66AE">
              <w:rPr>
                <w:rFonts w:eastAsia="Calibri Light" w:cs="Calibri Light"/>
              </w:rPr>
              <w:t xml:space="preserve"> to </w:t>
            </w:r>
            <w:r>
              <w:rPr>
                <w:rFonts w:eastAsia="Calibri Light" w:cs="Calibri Light"/>
              </w:rPr>
              <w:t>migratory</w:t>
            </w:r>
            <w:r w:rsidRPr="006C66AE">
              <w:rPr>
                <w:rFonts w:eastAsia="Calibri Light" w:cs="Calibri Light"/>
              </w:rPr>
              <w:t xml:space="preserve"> secondary youth and OSY to eliminate barriers to accomplishing graduation, GED, college, career, and/or life readiness goals.</w:t>
            </w:r>
          </w:p>
        </w:tc>
        <w:tc>
          <w:tcPr>
            <w:tcW w:w="3975" w:type="dxa"/>
            <w:shd w:val="clear" w:color="auto" w:fill="auto"/>
          </w:tcPr>
          <w:p w14:paraId="7C2FF5B1" w14:textId="5F6F952A" w:rsidR="00E27D68" w:rsidRPr="006C66AE" w:rsidRDefault="00E27D68" w:rsidP="002071F3">
            <w:pPr>
              <w:rPr>
                <w:rFonts w:asciiTheme="minorHAnsi" w:hAnsiTheme="minorHAnsi" w:cs="Arial"/>
                <w:bCs/>
                <w:szCs w:val="20"/>
              </w:rPr>
            </w:pPr>
            <w:r w:rsidRPr="006C66AE">
              <w:rPr>
                <w:rFonts w:asciiTheme="minorHAnsi" w:hAnsiTheme="minorHAnsi" w:cs="Arial"/>
                <w:b/>
                <w:bCs/>
                <w:szCs w:val="20"/>
              </w:rPr>
              <w:t>3b)</w:t>
            </w:r>
            <w:r w:rsidRPr="006C66AE">
              <w:rPr>
                <w:rFonts w:asciiTheme="minorHAnsi" w:hAnsiTheme="minorHAnsi" w:cs="Arial"/>
                <w:bCs/>
                <w:szCs w:val="20"/>
              </w:rPr>
              <w:t xml:space="preserve"> By the end of the </w:t>
            </w:r>
            <w:r w:rsidR="00D14DD7">
              <w:rPr>
                <w:rFonts w:asciiTheme="minorHAnsi" w:hAnsiTheme="minorHAnsi" w:cs="Arial"/>
                <w:bCs/>
                <w:szCs w:val="20"/>
              </w:rPr>
              <w:t>2021-22</w:t>
            </w:r>
            <w:r w:rsidRPr="006C66AE">
              <w:rPr>
                <w:rFonts w:asciiTheme="minorHAnsi" w:hAnsiTheme="minorHAnsi" w:cs="Arial"/>
                <w:bCs/>
                <w:szCs w:val="20"/>
              </w:rPr>
              <w:t xml:space="preserve"> performance period, 70% of all eligible secondary </w:t>
            </w:r>
            <w:r>
              <w:rPr>
                <w:rFonts w:asciiTheme="minorHAnsi" w:hAnsiTheme="minorHAnsi" w:cs="Arial"/>
                <w:bCs/>
                <w:szCs w:val="20"/>
              </w:rPr>
              <w:t>migratory</w:t>
            </w:r>
            <w:r w:rsidRPr="006C66AE">
              <w:rPr>
                <w:rFonts w:asciiTheme="minorHAnsi" w:hAnsiTheme="minorHAnsi" w:cs="Arial"/>
                <w:bCs/>
                <w:szCs w:val="20"/>
              </w:rPr>
              <w:t xml:space="preserve"> students (grades 9-12) and OSY will receive MEP support services that contribute to </w:t>
            </w:r>
            <w:r w:rsidRPr="006C66AE">
              <w:rPr>
                <w:rFonts w:asciiTheme="minorHAnsi" w:hAnsiTheme="minorHAnsi" w:cstheme="minorHAnsi"/>
                <w:bCs/>
                <w:szCs w:val="20"/>
              </w:rPr>
              <w:t xml:space="preserve">their </w:t>
            </w:r>
            <w:r w:rsidRPr="006C66AE">
              <w:rPr>
                <w:rFonts w:asciiTheme="minorHAnsi" w:eastAsia="Calibri Light" w:hAnsiTheme="minorHAnsi" w:cstheme="minorHAnsi"/>
                <w:szCs w:val="20"/>
              </w:rPr>
              <w:t>graduation, GED, college, career, and/or life readiness goals.</w:t>
            </w:r>
          </w:p>
        </w:tc>
        <w:tc>
          <w:tcPr>
            <w:tcW w:w="2610" w:type="dxa"/>
            <w:shd w:val="clear" w:color="auto" w:fill="auto"/>
          </w:tcPr>
          <w:p w14:paraId="56F1804F" w14:textId="77777777" w:rsidR="00E27D68" w:rsidRPr="006C66AE" w:rsidRDefault="00E27D68" w:rsidP="002071F3">
            <w:pPr>
              <w:rPr>
                <w:rFonts w:asciiTheme="minorHAnsi" w:hAnsiTheme="minorHAnsi" w:cs="Arial"/>
                <w:szCs w:val="20"/>
              </w:rPr>
            </w:pPr>
            <w:r w:rsidRPr="006C66AE">
              <w:rPr>
                <w:rFonts w:asciiTheme="minorHAnsi" w:hAnsiTheme="minorHAnsi" w:cs="Arial"/>
                <w:szCs w:val="20"/>
              </w:rPr>
              <w:t xml:space="preserve">What percentage of eligible secondary </w:t>
            </w:r>
            <w:r>
              <w:rPr>
                <w:rFonts w:asciiTheme="minorHAnsi" w:hAnsiTheme="minorHAnsi" w:cs="Arial"/>
                <w:szCs w:val="20"/>
              </w:rPr>
              <w:t>migratory</w:t>
            </w:r>
            <w:r w:rsidRPr="006C66AE">
              <w:rPr>
                <w:rFonts w:asciiTheme="minorHAnsi" w:hAnsiTheme="minorHAnsi" w:cs="Arial"/>
                <w:szCs w:val="20"/>
              </w:rPr>
              <w:t xml:space="preserve"> students and OSY (PFS &amp; non-PFS) received MEP support services?</w:t>
            </w:r>
          </w:p>
        </w:tc>
        <w:tc>
          <w:tcPr>
            <w:tcW w:w="2605" w:type="dxa"/>
            <w:shd w:val="clear" w:color="auto" w:fill="auto"/>
          </w:tcPr>
          <w:p w14:paraId="09D43E07" w14:textId="77777777" w:rsidR="00E27D68" w:rsidRPr="006C66AE" w:rsidRDefault="00E27D68" w:rsidP="002071F3">
            <w:pPr>
              <w:ind w:hanging="9"/>
              <w:rPr>
                <w:rFonts w:asciiTheme="minorHAnsi" w:hAnsiTheme="minorHAnsi" w:cs="Arial"/>
                <w:szCs w:val="20"/>
              </w:rPr>
            </w:pPr>
            <w:r w:rsidRPr="006C66AE">
              <w:rPr>
                <w:rFonts w:asciiTheme="minorHAnsi" w:hAnsiTheme="minorHAnsi" w:cs="Arial"/>
                <w:szCs w:val="20"/>
              </w:rPr>
              <w:t>What support services were provided to secondary students/ OSY?</w:t>
            </w:r>
          </w:p>
        </w:tc>
      </w:tr>
      <w:tr w:rsidR="00E27D68" w:rsidRPr="007D2F9C" w14:paraId="495E14A0" w14:textId="77777777" w:rsidTr="0029373E">
        <w:trPr>
          <w:jc w:val="center"/>
        </w:trPr>
        <w:tc>
          <w:tcPr>
            <w:tcW w:w="4135" w:type="dxa"/>
          </w:tcPr>
          <w:p w14:paraId="27BCFF8C" w14:textId="77777777" w:rsidR="00E27D68" w:rsidRPr="006C66AE" w:rsidRDefault="00E27D68" w:rsidP="002071F3">
            <w:pPr>
              <w:pStyle w:val="TableParagraph"/>
              <w:rPr>
                <w:rFonts w:eastAsia="Calibri Light" w:cs="Calibri Light"/>
              </w:rPr>
            </w:pPr>
            <w:r w:rsidRPr="006C66AE">
              <w:rPr>
                <w:rFonts w:eastAsia="Calibri Light" w:cstheme="minorHAnsi"/>
                <w:b/>
                <w:u w:val="single"/>
              </w:rPr>
              <w:t>Strategy 3.3</w:t>
            </w:r>
            <w:r w:rsidRPr="006C66AE">
              <w:rPr>
                <w:rFonts w:eastAsia="Calibri Light" w:cstheme="minorHAnsi"/>
              </w:rPr>
              <w:t xml:space="preserve">: </w:t>
            </w:r>
            <w:r w:rsidRPr="006C66AE">
              <w:rPr>
                <w:rFonts w:eastAsia="Calibri Light" w:cs="Calibri Light"/>
              </w:rPr>
              <w:t xml:space="preserve">Coordinate/provide needs-based educational services to </w:t>
            </w:r>
            <w:r w:rsidRPr="00D62930">
              <w:rPr>
                <w:rFonts w:eastAsia="Calibri Light" w:cs="Calibri Light"/>
                <w:b/>
                <w:bCs/>
              </w:rPr>
              <w:t>migratory parents/families</w:t>
            </w:r>
            <w:r w:rsidRPr="006C66AE">
              <w:rPr>
                <w:rFonts w:eastAsia="Calibri Light" w:cs="Calibri Light"/>
              </w:rPr>
              <w:t xml:space="preserve"> to enhance their capacity to support their child’s achievement of graduation, GED, college, career, and/or life readiness goals.</w:t>
            </w:r>
          </w:p>
          <w:p w14:paraId="18A462CC" w14:textId="77777777" w:rsidR="00E27D68" w:rsidRPr="006C66AE" w:rsidRDefault="00E27D68" w:rsidP="002071F3">
            <w:pPr>
              <w:rPr>
                <w:rFonts w:asciiTheme="minorHAnsi" w:hAnsiTheme="minorHAnsi" w:cs="Arial"/>
                <w:b/>
                <w:bCs/>
                <w:sz w:val="20"/>
                <w:szCs w:val="18"/>
              </w:rPr>
            </w:pPr>
          </w:p>
        </w:tc>
        <w:tc>
          <w:tcPr>
            <w:tcW w:w="3975" w:type="dxa"/>
            <w:shd w:val="clear" w:color="auto" w:fill="auto"/>
          </w:tcPr>
          <w:p w14:paraId="756EE3C7" w14:textId="43341DD9" w:rsidR="00E27D68" w:rsidRPr="006C66AE" w:rsidRDefault="00E27D68" w:rsidP="002071F3">
            <w:pPr>
              <w:rPr>
                <w:rFonts w:asciiTheme="minorHAnsi" w:hAnsiTheme="minorHAnsi" w:cstheme="minorHAnsi"/>
                <w:bCs/>
                <w:szCs w:val="20"/>
              </w:rPr>
            </w:pPr>
            <w:r w:rsidRPr="006C66AE">
              <w:rPr>
                <w:rFonts w:asciiTheme="minorHAnsi" w:hAnsiTheme="minorHAnsi" w:cs="Arial"/>
                <w:b/>
                <w:bCs/>
                <w:szCs w:val="20"/>
              </w:rPr>
              <w:t>3c)</w:t>
            </w:r>
            <w:r w:rsidRPr="006C66AE">
              <w:rPr>
                <w:rFonts w:asciiTheme="minorHAnsi" w:hAnsiTheme="minorHAnsi" w:cs="Arial"/>
                <w:bCs/>
                <w:szCs w:val="20"/>
              </w:rPr>
              <w:t xml:space="preserve"> By the end of the </w:t>
            </w:r>
            <w:r w:rsidR="00D14DD7">
              <w:rPr>
                <w:rFonts w:asciiTheme="minorHAnsi" w:hAnsiTheme="minorHAnsi" w:cs="Arial"/>
                <w:bCs/>
                <w:szCs w:val="20"/>
              </w:rPr>
              <w:t>2021-22</w:t>
            </w:r>
            <w:r w:rsidRPr="006C66AE">
              <w:rPr>
                <w:rFonts w:asciiTheme="minorHAnsi" w:hAnsiTheme="minorHAnsi" w:cs="Arial"/>
                <w:bCs/>
                <w:szCs w:val="20"/>
              </w:rPr>
              <w:t xml:space="preserve"> performance period, 90% of parents of </w:t>
            </w:r>
            <w:r>
              <w:rPr>
                <w:rFonts w:asciiTheme="minorHAnsi" w:hAnsiTheme="minorHAnsi" w:cs="Arial"/>
                <w:bCs/>
                <w:szCs w:val="20"/>
              </w:rPr>
              <w:t>migratory</w:t>
            </w:r>
            <w:r w:rsidRPr="006C66AE">
              <w:rPr>
                <w:rFonts w:asciiTheme="minorHAnsi" w:hAnsiTheme="minorHAnsi" w:cs="Arial"/>
                <w:bCs/>
                <w:szCs w:val="20"/>
              </w:rPr>
              <w:t xml:space="preserve"> secondary youth who participated in MEP FACE/PAC opportunities will indicate that they gained knowledge of strategies for supporting their child in his/her achievement </w:t>
            </w:r>
            <w:r w:rsidRPr="006C66AE">
              <w:rPr>
                <w:rFonts w:asciiTheme="minorHAnsi" w:hAnsiTheme="minorHAnsi" w:cstheme="minorHAnsi"/>
                <w:bCs/>
                <w:szCs w:val="20"/>
              </w:rPr>
              <w:t xml:space="preserve">of </w:t>
            </w:r>
            <w:r w:rsidRPr="006C66AE">
              <w:rPr>
                <w:rFonts w:asciiTheme="minorHAnsi" w:eastAsia="Calibri Light" w:hAnsiTheme="minorHAnsi" w:cstheme="minorHAnsi"/>
                <w:szCs w:val="20"/>
              </w:rPr>
              <w:t>graduation, GED, college, career, and/or life readiness goals.</w:t>
            </w:r>
          </w:p>
        </w:tc>
        <w:tc>
          <w:tcPr>
            <w:tcW w:w="2610" w:type="dxa"/>
            <w:shd w:val="clear" w:color="auto" w:fill="auto"/>
          </w:tcPr>
          <w:p w14:paraId="3A2547EC" w14:textId="77777777" w:rsidR="00E27D68" w:rsidRPr="006C66AE" w:rsidRDefault="00E27D68" w:rsidP="002071F3">
            <w:pPr>
              <w:rPr>
                <w:rFonts w:asciiTheme="minorHAnsi" w:hAnsiTheme="minorHAnsi" w:cs="Arial"/>
                <w:szCs w:val="20"/>
              </w:rPr>
            </w:pPr>
            <w:r w:rsidRPr="006C66AE">
              <w:rPr>
                <w:rFonts w:asciiTheme="minorHAnsi" w:hAnsiTheme="minorHAnsi" w:cs="Arial"/>
                <w:szCs w:val="20"/>
              </w:rPr>
              <w:t xml:space="preserve">What percentage of parents reported gaining knowledge of strategies for supporting their child in his/her achievement of graduation, GED, college, career, and life readiness skills? </w:t>
            </w:r>
          </w:p>
        </w:tc>
        <w:tc>
          <w:tcPr>
            <w:tcW w:w="2605" w:type="dxa"/>
            <w:shd w:val="clear" w:color="auto" w:fill="auto"/>
          </w:tcPr>
          <w:p w14:paraId="434501AD" w14:textId="77777777" w:rsidR="00E27D68" w:rsidRPr="006C66AE" w:rsidRDefault="00E27D68" w:rsidP="002071F3">
            <w:pPr>
              <w:ind w:hanging="9"/>
              <w:rPr>
                <w:rFonts w:asciiTheme="minorHAnsi" w:hAnsiTheme="minorHAnsi" w:cs="Arial"/>
                <w:szCs w:val="20"/>
              </w:rPr>
            </w:pPr>
            <w:r w:rsidRPr="006C66AE">
              <w:rPr>
                <w:rFonts w:asciiTheme="minorHAnsi" w:hAnsiTheme="minorHAnsi" w:cs="Arial"/>
                <w:szCs w:val="20"/>
              </w:rPr>
              <w:t>What topics were addressed during FACE/PAC meetings?</w:t>
            </w:r>
          </w:p>
        </w:tc>
      </w:tr>
      <w:tr w:rsidR="00E27D68" w:rsidRPr="007D2F9C" w14:paraId="0510969F" w14:textId="77777777" w:rsidTr="0029373E">
        <w:trPr>
          <w:jc w:val="center"/>
        </w:trPr>
        <w:tc>
          <w:tcPr>
            <w:tcW w:w="4135" w:type="dxa"/>
          </w:tcPr>
          <w:p w14:paraId="394A229B" w14:textId="77777777" w:rsidR="00E27D68" w:rsidRPr="006C66AE" w:rsidRDefault="00E27D68" w:rsidP="002071F3">
            <w:pPr>
              <w:pStyle w:val="TableParagraph"/>
              <w:rPr>
                <w:rFonts w:eastAsia="Calibri Light" w:cs="Calibri Light"/>
              </w:rPr>
            </w:pPr>
            <w:r w:rsidRPr="006C66AE">
              <w:rPr>
                <w:rFonts w:eastAsia="Calibri Light" w:cstheme="minorHAnsi"/>
                <w:b/>
                <w:u w:val="single"/>
              </w:rPr>
              <w:lastRenderedPageBreak/>
              <w:t>Strategy 3.4</w:t>
            </w:r>
            <w:r w:rsidRPr="006C66AE">
              <w:rPr>
                <w:rFonts w:eastAsia="Calibri Light" w:cstheme="minorHAnsi"/>
              </w:rPr>
              <w:t xml:space="preserve">: </w:t>
            </w:r>
            <w:r w:rsidRPr="006C66AE">
              <w:rPr>
                <w:rFonts w:eastAsia="Calibri Light" w:cs="Calibri Light"/>
              </w:rPr>
              <w:t xml:space="preserve">Provide </w:t>
            </w:r>
            <w:r w:rsidRPr="00D62930">
              <w:rPr>
                <w:rFonts w:eastAsia="Calibri Light" w:cs="Calibri Light"/>
                <w:b/>
                <w:bCs/>
              </w:rPr>
              <w:t>professional learning</w:t>
            </w:r>
            <w:r w:rsidRPr="006C66AE">
              <w:rPr>
                <w:rFonts w:eastAsia="Calibri Light" w:cs="Calibri Light"/>
              </w:rPr>
              <w:t xml:space="preserve"> opportunities to MEP staff, school staff, and partner stakeholders to enhance their knowledge of evidence-based strategies, promising practices, and culturally-relevant instruction to increase secondary </w:t>
            </w:r>
            <w:r>
              <w:rPr>
                <w:rFonts w:eastAsia="Calibri Light" w:cs="Calibri Light"/>
              </w:rPr>
              <w:t>migratory</w:t>
            </w:r>
            <w:r w:rsidRPr="006C66AE">
              <w:rPr>
                <w:rFonts w:eastAsia="Calibri Light" w:cs="Calibri Light"/>
              </w:rPr>
              <w:t xml:space="preserve"> youth/OSY achievement of graduation, GED, college, career, and/or life readiness goals.</w:t>
            </w:r>
          </w:p>
        </w:tc>
        <w:tc>
          <w:tcPr>
            <w:tcW w:w="3975" w:type="dxa"/>
            <w:shd w:val="clear" w:color="auto" w:fill="auto"/>
          </w:tcPr>
          <w:p w14:paraId="6C1E5E09" w14:textId="62C53E7F" w:rsidR="00E27D68" w:rsidRPr="006C66AE" w:rsidRDefault="00E27D68" w:rsidP="002071F3">
            <w:pPr>
              <w:rPr>
                <w:rFonts w:asciiTheme="minorHAnsi" w:hAnsiTheme="minorHAnsi" w:cs="Arial"/>
                <w:bCs/>
                <w:szCs w:val="20"/>
              </w:rPr>
            </w:pPr>
            <w:r w:rsidRPr="006C66AE">
              <w:rPr>
                <w:rFonts w:asciiTheme="minorHAnsi" w:hAnsiTheme="minorHAnsi" w:cs="Arial"/>
                <w:b/>
                <w:bCs/>
                <w:szCs w:val="20"/>
              </w:rPr>
              <w:t>3d)</w:t>
            </w:r>
            <w:r w:rsidRPr="006C66AE">
              <w:rPr>
                <w:rFonts w:asciiTheme="minorHAnsi" w:hAnsiTheme="minorHAnsi" w:cs="Arial"/>
                <w:bCs/>
                <w:szCs w:val="20"/>
              </w:rPr>
              <w:t xml:space="preserve"> By the end of the </w:t>
            </w:r>
            <w:r w:rsidR="00D14DD7">
              <w:rPr>
                <w:rFonts w:asciiTheme="minorHAnsi" w:hAnsiTheme="minorHAnsi" w:cs="Arial"/>
                <w:bCs/>
                <w:szCs w:val="20"/>
              </w:rPr>
              <w:t>2021-22</w:t>
            </w:r>
            <w:r w:rsidRPr="006C66AE">
              <w:rPr>
                <w:rFonts w:asciiTheme="minorHAnsi" w:hAnsiTheme="minorHAnsi" w:cs="Arial"/>
                <w:bCs/>
                <w:szCs w:val="20"/>
              </w:rPr>
              <w:t xml:space="preserve"> performance period, </w:t>
            </w:r>
            <w:r w:rsidR="00503ED7">
              <w:rPr>
                <w:rFonts w:asciiTheme="minorHAnsi" w:hAnsiTheme="minorHAnsi" w:cs="Arial"/>
                <w:bCs/>
                <w:szCs w:val="20"/>
              </w:rPr>
              <w:t>8</w:t>
            </w:r>
            <w:r w:rsidR="00F20442">
              <w:rPr>
                <w:rFonts w:asciiTheme="minorHAnsi" w:hAnsiTheme="minorHAnsi" w:cs="Arial"/>
                <w:bCs/>
                <w:szCs w:val="20"/>
              </w:rPr>
              <w:t>0</w:t>
            </w:r>
            <w:r w:rsidRPr="006C66AE">
              <w:rPr>
                <w:rFonts w:asciiTheme="minorHAnsi" w:hAnsiTheme="minorHAnsi" w:cs="Arial"/>
                <w:bCs/>
                <w:szCs w:val="20"/>
              </w:rPr>
              <w:t>% of staff who participate in professional learning will show a statistically significant gain on a pre/post survey in their knowledge of evidence-based strategies, promising practices, and culturally</w:t>
            </w:r>
            <w:r w:rsidR="00590425">
              <w:rPr>
                <w:rFonts w:asciiTheme="minorHAnsi" w:hAnsiTheme="minorHAnsi" w:cs="Arial"/>
                <w:bCs/>
                <w:szCs w:val="20"/>
              </w:rPr>
              <w:t xml:space="preserve"> </w:t>
            </w:r>
            <w:r w:rsidRPr="006C66AE">
              <w:rPr>
                <w:rFonts w:asciiTheme="minorHAnsi" w:hAnsiTheme="minorHAnsi" w:cs="Arial"/>
                <w:bCs/>
                <w:szCs w:val="20"/>
              </w:rPr>
              <w:t xml:space="preserve">relevant instruction contributing to the achievement of secondary </w:t>
            </w:r>
            <w:r>
              <w:rPr>
                <w:rFonts w:asciiTheme="minorHAnsi" w:hAnsiTheme="minorHAnsi" w:cs="Arial"/>
                <w:bCs/>
                <w:szCs w:val="20"/>
              </w:rPr>
              <w:t>migratory</w:t>
            </w:r>
            <w:r w:rsidRPr="006C66AE">
              <w:rPr>
                <w:rFonts w:asciiTheme="minorHAnsi" w:hAnsiTheme="minorHAnsi" w:cs="Arial"/>
                <w:bCs/>
                <w:szCs w:val="20"/>
              </w:rPr>
              <w:t xml:space="preserve"> youth and OSY.</w:t>
            </w:r>
          </w:p>
        </w:tc>
        <w:tc>
          <w:tcPr>
            <w:tcW w:w="2610" w:type="dxa"/>
            <w:shd w:val="clear" w:color="auto" w:fill="auto"/>
          </w:tcPr>
          <w:p w14:paraId="640A7548" w14:textId="77777777" w:rsidR="00E27D68" w:rsidRPr="006C66AE" w:rsidRDefault="00E27D68" w:rsidP="002071F3">
            <w:pPr>
              <w:rPr>
                <w:rFonts w:asciiTheme="minorHAnsi" w:hAnsiTheme="minorHAnsi" w:cs="Arial"/>
                <w:szCs w:val="20"/>
              </w:rPr>
            </w:pPr>
            <w:r w:rsidRPr="006C66AE">
              <w:rPr>
                <w:rFonts w:asciiTheme="minorHAnsi" w:hAnsiTheme="minorHAnsi" w:cs="Arial"/>
                <w:szCs w:val="20"/>
              </w:rPr>
              <w:t>What percentage of staff showed a statistically significant gain on a pre/post assessment?</w:t>
            </w:r>
          </w:p>
        </w:tc>
        <w:tc>
          <w:tcPr>
            <w:tcW w:w="2605" w:type="dxa"/>
            <w:shd w:val="clear" w:color="auto" w:fill="auto"/>
          </w:tcPr>
          <w:p w14:paraId="0042284C" w14:textId="77777777" w:rsidR="00E27D68" w:rsidRPr="006C66AE" w:rsidRDefault="00E27D68" w:rsidP="002071F3">
            <w:pPr>
              <w:ind w:hanging="9"/>
              <w:rPr>
                <w:rFonts w:asciiTheme="minorHAnsi" w:hAnsiTheme="minorHAnsi" w:cs="Arial"/>
                <w:szCs w:val="20"/>
              </w:rPr>
            </w:pPr>
            <w:r w:rsidRPr="006C66AE">
              <w:rPr>
                <w:rFonts w:asciiTheme="minorHAnsi" w:hAnsiTheme="minorHAnsi" w:cs="Arial"/>
                <w:szCs w:val="20"/>
              </w:rPr>
              <w:t>Which professional learning did staff find most useful?</w:t>
            </w:r>
          </w:p>
        </w:tc>
      </w:tr>
    </w:tbl>
    <w:p w14:paraId="686F0F47" w14:textId="77777777" w:rsidR="00E27D68" w:rsidRDefault="00E27D68" w:rsidP="00E27D68"/>
    <w:p w14:paraId="5B0745CA" w14:textId="233CEBF8" w:rsidR="00E80321" w:rsidRPr="000B00F4" w:rsidRDefault="00E80321">
      <w:pPr>
        <w:rPr>
          <w:rFonts w:asciiTheme="minorHAnsi" w:hAnsiTheme="minorHAnsi"/>
          <w:i/>
          <w:color w:val="244061"/>
          <w:sz w:val="28"/>
          <w:szCs w:val="24"/>
        </w:rPr>
      </w:pPr>
    </w:p>
    <w:sectPr w:rsidR="00E80321" w:rsidRPr="000B00F4" w:rsidSect="00F80D1C">
      <w:footerReference w:type="default" r:id="rId7"/>
      <w:pgSz w:w="15840" w:h="12240" w:orient="landscape" w:code="1"/>
      <w:pgMar w:top="864" w:right="1440" w:bottom="936" w:left="1440" w:header="720" w:footer="432"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EB2" w14:textId="77777777" w:rsidR="00BE6144" w:rsidRDefault="00BE6144" w:rsidP="00F80D1C">
      <w:r>
        <w:separator/>
      </w:r>
    </w:p>
  </w:endnote>
  <w:endnote w:type="continuationSeparator" w:id="0">
    <w:p w14:paraId="1A53361F" w14:textId="77777777" w:rsidR="00BE6144" w:rsidRDefault="00BE6144" w:rsidP="00F8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64221"/>
      <w:docPartObj>
        <w:docPartGallery w:val="Page Numbers (Bottom of Page)"/>
        <w:docPartUnique/>
      </w:docPartObj>
    </w:sdtPr>
    <w:sdtEndPr>
      <w:rPr>
        <w:noProof/>
        <w:sz w:val="18"/>
        <w:szCs w:val="18"/>
      </w:rPr>
    </w:sdtEndPr>
    <w:sdtContent>
      <w:p w14:paraId="7A486B1E" w14:textId="5460C863" w:rsidR="00F80D1C" w:rsidRPr="00F80D1C" w:rsidRDefault="00F80D1C">
        <w:pPr>
          <w:pStyle w:val="Footer"/>
          <w:jc w:val="right"/>
          <w:rPr>
            <w:sz w:val="18"/>
            <w:szCs w:val="18"/>
          </w:rPr>
        </w:pPr>
        <w:r w:rsidRPr="00F80D1C">
          <w:rPr>
            <w:sz w:val="18"/>
            <w:szCs w:val="18"/>
          </w:rPr>
          <w:fldChar w:fldCharType="begin"/>
        </w:r>
        <w:r w:rsidRPr="00F80D1C">
          <w:rPr>
            <w:sz w:val="18"/>
            <w:szCs w:val="18"/>
          </w:rPr>
          <w:instrText xml:space="preserve"> PAGE   \* MERGEFORMAT </w:instrText>
        </w:r>
        <w:r w:rsidRPr="00F80D1C">
          <w:rPr>
            <w:sz w:val="18"/>
            <w:szCs w:val="18"/>
          </w:rPr>
          <w:fldChar w:fldCharType="separate"/>
        </w:r>
        <w:r w:rsidRPr="00F80D1C">
          <w:rPr>
            <w:noProof/>
            <w:sz w:val="18"/>
            <w:szCs w:val="18"/>
          </w:rPr>
          <w:t>2</w:t>
        </w:r>
        <w:r w:rsidRPr="00F80D1C">
          <w:rPr>
            <w:noProof/>
            <w:sz w:val="18"/>
            <w:szCs w:val="18"/>
          </w:rPr>
          <w:fldChar w:fldCharType="end"/>
        </w:r>
      </w:p>
    </w:sdtContent>
  </w:sdt>
  <w:p w14:paraId="48EED8FE" w14:textId="77777777" w:rsidR="00F80D1C" w:rsidRDefault="00F8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B0DF" w14:textId="77777777" w:rsidR="00BE6144" w:rsidRDefault="00BE6144" w:rsidP="00F80D1C">
      <w:r>
        <w:separator/>
      </w:r>
    </w:p>
  </w:footnote>
  <w:footnote w:type="continuationSeparator" w:id="0">
    <w:p w14:paraId="30D1172F" w14:textId="77777777" w:rsidR="00BE6144" w:rsidRDefault="00BE6144" w:rsidP="00F8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68"/>
    <w:rsid w:val="000B00F4"/>
    <w:rsid w:val="00223A27"/>
    <w:rsid w:val="0029373E"/>
    <w:rsid w:val="002961C4"/>
    <w:rsid w:val="003C2B0C"/>
    <w:rsid w:val="00485A89"/>
    <w:rsid w:val="004F6923"/>
    <w:rsid w:val="00503ED7"/>
    <w:rsid w:val="005254CD"/>
    <w:rsid w:val="00540585"/>
    <w:rsid w:val="00552176"/>
    <w:rsid w:val="005613EC"/>
    <w:rsid w:val="00581314"/>
    <w:rsid w:val="00590425"/>
    <w:rsid w:val="005A45FC"/>
    <w:rsid w:val="00807F47"/>
    <w:rsid w:val="008B06F1"/>
    <w:rsid w:val="00931F7B"/>
    <w:rsid w:val="0097075C"/>
    <w:rsid w:val="00BE6144"/>
    <w:rsid w:val="00BF55D6"/>
    <w:rsid w:val="00D14DD7"/>
    <w:rsid w:val="00D62930"/>
    <w:rsid w:val="00E27D68"/>
    <w:rsid w:val="00E80321"/>
    <w:rsid w:val="00E93E33"/>
    <w:rsid w:val="00EE0DF6"/>
    <w:rsid w:val="00F20442"/>
    <w:rsid w:val="00F625E6"/>
    <w:rsid w:val="00F8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DCFD"/>
  <w15:chartTrackingRefBased/>
  <w15:docId w15:val="{22AFEB6B-4840-4D7F-98B2-7BE7875E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68"/>
    <w:pPr>
      <w:spacing w:after="0" w:line="240" w:lineRule="auto"/>
    </w:pPr>
    <w:rPr>
      <w:rFonts w:ascii="Arial" w:eastAsia="Calibri" w:hAnsi="Arial" w:cs="Times New Roman"/>
    </w:rPr>
  </w:style>
  <w:style w:type="paragraph" w:styleId="Heading2">
    <w:name w:val="heading 2"/>
    <w:basedOn w:val="Normal"/>
    <w:next w:val="Normal"/>
    <w:link w:val="Heading2Char"/>
    <w:uiPriority w:val="9"/>
    <w:qFormat/>
    <w:rsid w:val="00E27D6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23A27"/>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rsid w:val="00E27D68"/>
    <w:rPr>
      <w:rFonts w:ascii="Cambria" w:eastAsia="Times New Roman" w:hAnsi="Cambria" w:cs="Times New Roman"/>
      <w:b/>
      <w:bCs/>
      <w:i/>
      <w:iCs/>
      <w:sz w:val="28"/>
      <w:szCs w:val="28"/>
    </w:rPr>
  </w:style>
  <w:style w:type="paragraph" w:customStyle="1" w:styleId="Default">
    <w:name w:val="Default"/>
    <w:rsid w:val="00E27D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qFormat/>
    <w:rsid w:val="00E27D68"/>
    <w:pPr>
      <w:spacing w:after="120"/>
    </w:pPr>
  </w:style>
  <w:style w:type="character" w:customStyle="1" w:styleId="BodyTextChar">
    <w:name w:val="Body Text Char"/>
    <w:basedOn w:val="DefaultParagraphFont"/>
    <w:link w:val="BodyText"/>
    <w:uiPriority w:val="99"/>
    <w:rsid w:val="00E27D68"/>
    <w:rPr>
      <w:rFonts w:ascii="Arial" w:eastAsia="Calibri" w:hAnsi="Arial" w:cs="Times New Roman"/>
    </w:rPr>
  </w:style>
  <w:style w:type="paragraph" w:customStyle="1" w:styleId="TableParagraph">
    <w:name w:val="Table Paragraph"/>
    <w:basedOn w:val="Normal"/>
    <w:uiPriority w:val="1"/>
    <w:qFormat/>
    <w:rsid w:val="00E27D68"/>
    <w:pPr>
      <w:widowControl w:val="0"/>
    </w:pPr>
    <w:rPr>
      <w:rFonts w:asciiTheme="minorHAnsi" w:eastAsiaTheme="minorHAnsi" w:hAnsiTheme="minorHAnsi" w:cstheme="minorBidi"/>
    </w:rPr>
  </w:style>
  <w:style w:type="paragraph" w:styleId="Header">
    <w:name w:val="header"/>
    <w:basedOn w:val="Normal"/>
    <w:link w:val="HeaderChar"/>
    <w:uiPriority w:val="99"/>
    <w:unhideWhenUsed/>
    <w:rsid w:val="00F80D1C"/>
    <w:pPr>
      <w:tabs>
        <w:tab w:val="center" w:pos="4680"/>
        <w:tab w:val="right" w:pos="9360"/>
      </w:tabs>
    </w:pPr>
  </w:style>
  <w:style w:type="character" w:customStyle="1" w:styleId="HeaderChar">
    <w:name w:val="Header Char"/>
    <w:basedOn w:val="DefaultParagraphFont"/>
    <w:link w:val="Header"/>
    <w:uiPriority w:val="99"/>
    <w:rsid w:val="00F80D1C"/>
    <w:rPr>
      <w:rFonts w:ascii="Arial" w:eastAsia="Calibri" w:hAnsi="Arial" w:cs="Times New Roman"/>
    </w:rPr>
  </w:style>
  <w:style w:type="paragraph" w:styleId="Footer">
    <w:name w:val="footer"/>
    <w:basedOn w:val="Normal"/>
    <w:link w:val="FooterChar"/>
    <w:uiPriority w:val="99"/>
    <w:unhideWhenUsed/>
    <w:rsid w:val="00F80D1C"/>
    <w:pPr>
      <w:tabs>
        <w:tab w:val="center" w:pos="4680"/>
        <w:tab w:val="right" w:pos="9360"/>
      </w:tabs>
    </w:pPr>
  </w:style>
  <w:style w:type="character" w:customStyle="1" w:styleId="FooterChar">
    <w:name w:val="Footer Char"/>
    <w:basedOn w:val="DefaultParagraphFont"/>
    <w:link w:val="Footer"/>
    <w:uiPriority w:val="99"/>
    <w:rsid w:val="00F80D1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Semivan</dc:creator>
  <cp:keywords/>
  <dc:description/>
  <cp:lastModifiedBy>Cari Semivan</cp:lastModifiedBy>
  <cp:revision>7</cp:revision>
  <dcterms:created xsi:type="dcterms:W3CDTF">2021-05-25T22:06:00Z</dcterms:created>
  <dcterms:modified xsi:type="dcterms:W3CDTF">2021-05-27T17:26:00Z</dcterms:modified>
</cp:coreProperties>
</file>