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15F3B" w14:textId="3D95B8B9" w:rsidR="00BA3433" w:rsidRPr="00BA3433" w:rsidRDefault="003435F0" w:rsidP="00592E64">
      <w:pPr>
        <w:pStyle w:val="Heading1"/>
        <w:jc w:val="center"/>
        <w:rPr>
          <w:b/>
        </w:rPr>
      </w:pPr>
      <w:r w:rsidRPr="003435F0">
        <w:rPr>
          <w:b/>
        </w:rPr>
        <w:t>Justification Support Worksheet</w:t>
      </w:r>
      <w:r w:rsidR="00592E64">
        <w:rPr>
          <w:b/>
        </w:rPr>
        <w:t xml:space="preserve"> </w:t>
      </w:r>
    </w:p>
    <w:p w14:paraId="751F018B" w14:textId="77777777" w:rsidR="00BA3433" w:rsidRDefault="00BA3433" w:rsidP="00BA34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A3433" w14:paraId="2584B791" w14:textId="77777777" w:rsidTr="00BA3433">
        <w:tc>
          <w:tcPr>
            <w:tcW w:w="4675" w:type="dxa"/>
            <w:shd w:val="clear" w:color="auto" w:fill="8EAADB" w:themeFill="accent1" w:themeFillTint="99"/>
          </w:tcPr>
          <w:p w14:paraId="418B2AA8" w14:textId="77777777" w:rsidR="00BA3433" w:rsidRPr="00BA3433" w:rsidRDefault="00BA3433" w:rsidP="00BA3433">
            <w:pPr>
              <w:rPr>
                <w:b/>
              </w:rPr>
            </w:pPr>
            <w:r w:rsidRPr="00BA3433">
              <w:rPr>
                <w:b/>
              </w:rPr>
              <w:t>School Name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12F03DEF" w14:textId="77777777" w:rsidR="00BA3433" w:rsidRPr="00BA3433" w:rsidRDefault="00BA3433" w:rsidP="00BA3433">
            <w:pPr>
              <w:rPr>
                <w:b/>
              </w:rPr>
            </w:pPr>
            <w:r w:rsidRPr="00BA3433">
              <w:rPr>
                <w:b/>
              </w:rPr>
              <w:t>Completed by</w:t>
            </w:r>
          </w:p>
        </w:tc>
      </w:tr>
      <w:tr w:rsidR="00BA3433" w14:paraId="3798C6DB" w14:textId="77777777" w:rsidTr="00BA3433">
        <w:tc>
          <w:tcPr>
            <w:tcW w:w="4675" w:type="dxa"/>
          </w:tcPr>
          <w:p w14:paraId="6F8302ED" w14:textId="77777777" w:rsidR="00BA3433" w:rsidRDefault="00BA3433" w:rsidP="00BA3433"/>
          <w:p w14:paraId="1014225B" w14:textId="77777777" w:rsidR="00BA3433" w:rsidRDefault="00BA3433" w:rsidP="00BA3433"/>
        </w:tc>
        <w:tc>
          <w:tcPr>
            <w:tcW w:w="4675" w:type="dxa"/>
          </w:tcPr>
          <w:p w14:paraId="6F76B208" w14:textId="77777777" w:rsidR="00BA3433" w:rsidRDefault="00BA3433" w:rsidP="00BA3433"/>
        </w:tc>
      </w:tr>
    </w:tbl>
    <w:p w14:paraId="7B119366" w14:textId="77777777" w:rsidR="00BA3433" w:rsidRPr="00E92F4F" w:rsidRDefault="00BA3433" w:rsidP="00BA3433">
      <w:pPr>
        <w:rPr>
          <w:sz w:val="24"/>
          <w:szCs w:val="24"/>
        </w:rPr>
      </w:pPr>
    </w:p>
    <w:p w14:paraId="6FFF34DB" w14:textId="77777777" w:rsidR="00BA3433" w:rsidRPr="0073074B" w:rsidRDefault="00BA3433" w:rsidP="0073074B">
      <w:pPr>
        <w:rPr>
          <w:rFonts w:cstheme="minorHAnsi"/>
          <w:b/>
        </w:rPr>
      </w:pPr>
    </w:p>
    <w:p w14:paraId="54AA0CDB" w14:textId="1E76FB8D" w:rsidR="003435F0" w:rsidRPr="008417D7" w:rsidRDefault="003435F0" w:rsidP="000B4229">
      <w:pPr>
        <w:rPr>
          <w:rFonts w:cstheme="minorHAnsi"/>
          <w:sz w:val="28"/>
          <w:szCs w:val="28"/>
        </w:rPr>
      </w:pPr>
      <w:r w:rsidRPr="008417D7">
        <w:rPr>
          <w:b/>
          <w:sz w:val="28"/>
          <w:szCs w:val="28"/>
        </w:rPr>
        <w:t xml:space="preserve">Projected Disability Categories of </w:t>
      </w:r>
      <w:r w:rsidR="00D57F41" w:rsidRPr="008417D7">
        <w:rPr>
          <w:rFonts w:cstheme="minorHAnsi"/>
          <w:b/>
          <w:sz w:val="28"/>
          <w:szCs w:val="28"/>
        </w:rPr>
        <w:t>NSCAS Alternate Assessment</w:t>
      </w:r>
      <w:r w:rsidRPr="008417D7">
        <w:rPr>
          <w:b/>
          <w:sz w:val="28"/>
          <w:szCs w:val="28"/>
        </w:rPr>
        <w:t xml:space="preserve"> Participants</w:t>
      </w:r>
    </w:p>
    <w:p w14:paraId="1ABC2320" w14:textId="77777777" w:rsidR="003435F0" w:rsidRDefault="003435F0" w:rsidP="003435F0">
      <w:pPr>
        <w:rPr>
          <w:rFonts w:cstheme="minorHAnsi"/>
        </w:rPr>
      </w:pPr>
    </w:p>
    <w:p w14:paraId="3E9C35E0" w14:textId="77777777" w:rsidR="003435F0" w:rsidRPr="00E92F4F" w:rsidRDefault="003435F0" w:rsidP="003435F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E92F4F">
        <w:rPr>
          <w:rFonts w:asciiTheme="minorHAnsi" w:hAnsiTheme="minorHAnsi" w:cstheme="minorHAnsi"/>
          <w:b/>
          <w:sz w:val="24"/>
          <w:szCs w:val="24"/>
        </w:rPr>
        <w:t xml:space="preserve">Provide the projected count of students identified in each of the following disability categories that will be participating in </w:t>
      </w:r>
      <w:r w:rsidR="0073074B">
        <w:rPr>
          <w:rFonts w:asciiTheme="minorHAnsi" w:hAnsiTheme="minorHAnsi" w:cstheme="minorHAnsi"/>
          <w:b/>
          <w:sz w:val="24"/>
          <w:szCs w:val="24"/>
        </w:rPr>
        <w:t>NSCAS Alternate Assessment</w:t>
      </w:r>
      <w:r w:rsidRPr="00E92F4F">
        <w:rPr>
          <w:rFonts w:asciiTheme="minorHAnsi" w:hAnsiTheme="minorHAnsi" w:cstheme="minorHAnsi"/>
          <w:b/>
          <w:sz w:val="24"/>
          <w:szCs w:val="24"/>
        </w:rPr>
        <w:t xml:space="preserve"> for 2018-2019. </w:t>
      </w:r>
    </w:p>
    <w:p w14:paraId="09CBB582" w14:textId="378764F0" w:rsidR="003435F0" w:rsidRDefault="003435F0" w:rsidP="003435F0">
      <w:pPr>
        <w:rPr>
          <w:rFonts w:cstheme="minorHAnsi"/>
        </w:rPr>
      </w:pPr>
    </w:p>
    <w:p w14:paraId="2C3861A7" w14:textId="404AB66F" w:rsidR="000B4229" w:rsidRDefault="000B4229" w:rsidP="003435F0">
      <w:pPr>
        <w:rPr>
          <w:rFonts w:cstheme="minorHAnsi"/>
        </w:rPr>
      </w:pPr>
    </w:p>
    <w:tbl>
      <w:tblPr>
        <w:tblW w:w="0" w:type="auto"/>
        <w:tblInd w:w="1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0"/>
        <w:gridCol w:w="3070"/>
      </w:tblGrid>
      <w:tr w:rsidR="00E92F4F" w:rsidRPr="00590911" w14:paraId="43FE69D1" w14:textId="77777777" w:rsidTr="00721E9B">
        <w:trPr>
          <w:trHeight w:val="1195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EFB9D" w14:textId="77777777" w:rsidR="00E92F4F" w:rsidRPr="00E92F4F" w:rsidRDefault="00E92F4F" w:rsidP="00D57F41">
            <w:pPr>
              <w:rPr>
                <w:rFonts w:cstheme="minorHAnsi"/>
                <w:sz w:val="32"/>
                <w:szCs w:val="32"/>
              </w:rPr>
            </w:pPr>
            <w:bookmarkStart w:id="0" w:name="_Hlk520879120"/>
            <w:r w:rsidRPr="00E92F4F">
              <w:rPr>
                <w:rFonts w:cstheme="minorHAnsi"/>
                <w:sz w:val="32"/>
                <w:szCs w:val="32"/>
              </w:rPr>
              <w:t>Disability as Identified in IDEA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7A980" w14:textId="77777777" w:rsidR="00E92F4F" w:rsidRPr="00E92F4F" w:rsidRDefault="00E92F4F" w:rsidP="0073074B">
            <w:pPr>
              <w:rPr>
                <w:rFonts w:cstheme="minorHAnsi"/>
                <w:sz w:val="32"/>
                <w:szCs w:val="32"/>
              </w:rPr>
            </w:pPr>
            <w:r w:rsidRPr="00E92F4F">
              <w:rPr>
                <w:rFonts w:cstheme="minorHAnsi"/>
                <w:sz w:val="32"/>
                <w:szCs w:val="32"/>
              </w:rPr>
              <w:t xml:space="preserve">Projected </w:t>
            </w:r>
            <w:r w:rsidR="0073074B">
              <w:rPr>
                <w:rFonts w:cstheme="minorHAnsi"/>
                <w:sz w:val="32"/>
                <w:szCs w:val="32"/>
              </w:rPr>
              <w:t>NSCAS Alternate Assessment</w:t>
            </w:r>
            <w:r w:rsidRPr="00E92F4F">
              <w:rPr>
                <w:rFonts w:cstheme="minorHAnsi"/>
                <w:sz w:val="32"/>
                <w:szCs w:val="32"/>
              </w:rPr>
              <w:t xml:space="preserve"> Participation Count</w:t>
            </w:r>
          </w:p>
        </w:tc>
      </w:tr>
      <w:tr w:rsidR="00E92F4F" w:rsidRPr="00590911" w14:paraId="07439CC6" w14:textId="77777777" w:rsidTr="00721E9B">
        <w:tc>
          <w:tcPr>
            <w:tcW w:w="2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E5A5C" w14:textId="77777777" w:rsidR="00E92F4F" w:rsidRPr="00725DE1" w:rsidRDefault="00E92F4F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Multiple Disabilities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D3053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11E61E7C" w14:textId="77777777" w:rsidTr="00721E9B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20962" w14:textId="77777777" w:rsidR="00E92F4F" w:rsidRPr="00725DE1" w:rsidRDefault="00E92F4F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Intellectual Disability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EC9F2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6FE7D5CF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C3F28" w14:textId="77777777" w:rsidR="00E92F4F" w:rsidRPr="00725DE1" w:rsidRDefault="00E92F4F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Autism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BFA3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4878BE0D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614F" w14:textId="410F7D51" w:rsidR="00E92F4F" w:rsidRPr="00725DE1" w:rsidRDefault="00BE787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Health Impaired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D7F5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47CE4BDF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CFDD" w14:textId="7316431B" w:rsidR="00E92F4F" w:rsidRPr="00725DE1" w:rsidRDefault="00BE787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Emotional Disturbance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634A3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0638A594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9130" w14:textId="4645A201" w:rsidR="00E92F4F" w:rsidRPr="00725DE1" w:rsidRDefault="00BE787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Deaf/Blind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BBCD8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04640D11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4E306" w14:textId="01FBB9AE" w:rsidR="00E92F4F" w:rsidRPr="00725DE1" w:rsidRDefault="00BE787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Traumatic Brain Injury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4939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128D1557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5F44F" w14:textId="076FBB80" w:rsidR="00E92F4F" w:rsidRPr="00725DE1" w:rsidRDefault="00BE787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Hearing Impairment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37D7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59E4A309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631A" w14:textId="5A36EA59" w:rsidR="00E92F4F" w:rsidRPr="00725DE1" w:rsidRDefault="00BE787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Visual Impairment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B4A3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00EBFD2F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7799" w14:textId="40420871" w:rsidR="00E92F4F" w:rsidRPr="00725DE1" w:rsidRDefault="00BE787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Orthopedic Impairments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EE92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52BCD7B3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C92A4" w14:textId="77777777" w:rsidR="00E92F4F" w:rsidRPr="00725DE1" w:rsidRDefault="00E92F4F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Specific Learning Disability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2A1FB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  <w:tr w:rsidR="00E92F4F" w:rsidRPr="00590911" w14:paraId="1CC64313" w14:textId="77777777" w:rsidTr="0038323F"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BCCBD" w14:textId="783A3CC9" w:rsidR="00E92F4F" w:rsidRPr="00725DE1" w:rsidRDefault="00D57F41" w:rsidP="003435F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725DE1">
              <w:rPr>
                <w:rFonts w:asciiTheme="minorHAnsi" w:hAnsiTheme="minorHAnsi" w:cstheme="minorHAnsi"/>
              </w:rPr>
              <w:t>Speech/Language Impairment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38EA" w14:textId="77777777" w:rsidR="00E92F4F" w:rsidRPr="00590911" w:rsidRDefault="00E92F4F" w:rsidP="00D57F41">
            <w:pPr>
              <w:rPr>
                <w:rFonts w:cstheme="minorHAnsi"/>
              </w:rPr>
            </w:pPr>
          </w:p>
        </w:tc>
      </w:tr>
    </w:tbl>
    <w:bookmarkEnd w:id="0"/>
    <w:p w14:paraId="7BAFFC9D" w14:textId="1741BD43" w:rsidR="003435F0" w:rsidRDefault="003435F0" w:rsidP="00BE7871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4D4B19F1" w14:textId="14DBC11F" w:rsidR="00BE7871" w:rsidRDefault="00BE7871" w:rsidP="00BE7871">
      <w:pPr>
        <w:rPr>
          <w:rFonts w:cstheme="minorHAnsi"/>
          <w:b/>
        </w:rPr>
      </w:pPr>
      <w:r>
        <w:rPr>
          <w:rFonts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87CD3" wp14:editId="213A1D93">
                <wp:simplePos x="0" y="0"/>
                <wp:positionH relativeFrom="margin">
                  <wp:posOffset>66675</wp:posOffset>
                </wp:positionH>
                <wp:positionV relativeFrom="paragraph">
                  <wp:posOffset>11430</wp:posOffset>
                </wp:positionV>
                <wp:extent cx="5896600" cy="5000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6600" cy="500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79E89" w14:textId="6CC4F2EE" w:rsidR="00F33684" w:rsidRPr="00E92F4F" w:rsidRDefault="00F33684" w:rsidP="003435F0">
                            <w:pP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92F4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Explain why the students with disabilities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identified</w:t>
                            </w:r>
                            <w:r w:rsidRPr="00E92F4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in categories 3 through 12</w:t>
                            </w:r>
                            <w:r w:rsidRPr="00E92F4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above </w:t>
                            </w:r>
                            <w:proofErr w:type="gramStart"/>
                            <w:r w:rsidRPr="00E92F4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>are assigned</w:t>
                            </w:r>
                            <w:proofErr w:type="gramEnd"/>
                            <w:r w:rsidRPr="00E92F4F">
                              <w:rPr>
                                <w:rFonts w:cstheme="min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to the alternate assessment.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87CD3" id="Rectangle 1" o:spid="_x0000_s1026" style="position:absolute;margin-left:5.25pt;margin-top:.9pt;width:464.3pt;height:3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" fillcolor="white [3201]" strokecolor="black [3200]" strokeweight="1pt">
                <v:textbox>
                  <w:txbxContent>
                    <w:p w14:paraId="0DB79E89" w14:textId="6CC4F2EE" w:rsidR="00F33684" w:rsidRPr="00E92F4F" w:rsidRDefault="00F33684" w:rsidP="003435F0">
                      <w:pP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</w:pPr>
                      <w:r w:rsidRPr="00E92F4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Explain why the students with disabilities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identified</w:t>
                      </w:r>
                      <w:r w:rsidRPr="00E92F4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in categories 3 through 12</w:t>
                      </w:r>
                      <w:r w:rsidRPr="00E92F4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above </w:t>
                      </w:r>
                      <w:proofErr w:type="gramStart"/>
                      <w:r w:rsidRPr="00E92F4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>are assigned</w:t>
                      </w:r>
                      <w:proofErr w:type="gramEnd"/>
                      <w:r w:rsidRPr="00E92F4F">
                        <w:rPr>
                          <w:rFonts w:cstheme="minorHAnsi"/>
                          <w:b/>
                          <w:i/>
                          <w:sz w:val="24"/>
                          <w:szCs w:val="24"/>
                        </w:rPr>
                        <w:t xml:space="preserve"> to the alternate assessment.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885FCC" w14:textId="55559250" w:rsidR="00BE7871" w:rsidRDefault="00BE7871" w:rsidP="00BE7871">
      <w:pPr>
        <w:rPr>
          <w:rFonts w:cstheme="minorHAnsi"/>
          <w:b/>
        </w:rPr>
      </w:pPr>
    </w:p>
    <w:p w14:paraId="0378B626" w14:textId="337208A2" w:rsidR="00BE7871" w:rsidRDefault="00BE7871" w:rsidP="00BE7871">
      <w:pPr>
        <w:rPr>
          <w:rFonts w:cstheme="minorHAnsi"/>
          <w:b/>
        </w:rPr>
      </w:pPr>
    </w:p>
    <w:p w14:paraId="297B1FE7" w14:textId="12B378F7" w:rsidR="003435F0" w:rsidRDefault="003435F0" w:rsidP="003435F0">
      <w:pPr>
        <w:rPr>
          <w:rFonts w:cstheme="minorHAnsi"/>
          <w:b/>
        </w:rPr>
      </w:pPr>
    </w:p>
    <w:p w14:paraId="7383A6F9" w14:textId="1FAF752F" w:rsidR="003435F0" w:rsidRDefault="003435F0" w:rsidP="003435F0">
      <w:pPr>
        <w:rPr>
          <w:rFonts w:cstheme="minorHAnsi"/>
          <w:b/>
        </w:rPr>
      </w:pPr>
    </w:p>
    <w:p w14:paraId="1CA9984B" w14:textId="62B4E29C" w:rsidR="003435F0" w:rsidRDefault="003435F0" w:rsidP="003435F0">
      <w:pPr>
        <w:rPr>
          <w:rFonts w:cstheme="minorHAnsi"/>
          <w:b/>
        </w:rPr>
      </w:pPr>
    </w:p>
    <w:p w14:paraId="46C35C32" w14:textId="6533F6C9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64577177" w14:textId="2431CADE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2C23AF1B" w14:textId="61046B97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008D2BDD" w14:textId="093BD67B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052E31B9" w14:textId="367B4AE5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724585DB" w14:textId="497BDD8F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1398D14C" w14:textId="450071D9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2E2407E5" w14:textId="2A5E30EB" w:rsidR="000B4229" w:rsidRDefault="000B4229" w:rsidP="000B4229">
      <w:pPr>
        <w:pStyle w:val="ListParagraph"/>
        <w:widowControl/>
        <w:autoSpaceDE/>
        <w:autoSpaceDN/>
        <w:spacing w:after="160" w:line="259" w:lineRule="auto"/>
        <w:ind w:left="360"/>
        <w:rPr>
          <w:rFonts w:asciiTheme="minorHAnsi" w:hAnsiTheme="minorHAnsi" w:cstheme="minorHAnsi"/>
          <w:b/>
        </w:rPr>
      </w:pPr>
    </w:p>
    <w:p w14:paraId="41322ED2" w14:textId="66516F52" w:rsidR="00E92F4F" w:rsidRDefault="00E92F4F">
      <w:pPr>
        <w:rPr>
          <w:rFonts w:cstheme="minorHAnsi"/>
          <w:b/>
          <w:i/>
        </w:rPr>
      </w:pPr>
    </w:p>
    <w:p w14:paraId="00D2F6BA" w14:textId="208F20E9" w:rsidR="002D4D5E" w:rsidRDefault="002D4D5E">
      <w:pPr>
        <w:rPr>
          <w:rFonts w:cstheme="minorHAnsi"/>
          <w:b/>
          <w:i/>
        </w:rPr>
      </w:pPr>
    </w:p>
    <w:p w14:paraId="6F045DD7" w14:textId="2516E1F3" w:rsidR="002D4D5E" w:rsidRDefault="002D4D5E">
      <w:pPr>
        <w:rPr>
          <w:rFonts w:cstheme="minorHAnsi"/>
          <w:b/>
          <w:i/>
        </w:rPr>
      </w:pPr>
    </w:p>
    <w:p w14:paraId="731211BA" w14:textId="38E82C08" w:rsidR="002D4D5E" w:rsidRDefault="002D4D5E">
      <w:pPr>
        <w:rPr>
          <w:rFonts w:cstheme="minorHAnsi"/>
          <w:b/>
          <w:i/>
        </w:rPr>
      </w:pPr>
    </w:p>
    <w:p w14:paraId="67E584BE" w14:textId="2C616543" w:rsidR="002D4D5E" w:rsidRDefault="002D4D5E">
      <w:pPr>
        <w:rPr>
          <w:rFonts w:cstheme="minorHAnsi"/>
          <w:b/>
          <w:i/>
        </w:rPr>
      </w:pPr>
    </w:p>
    <w:p w14:paraId="1FCB5E04" w14:textId="77777777" w:rsidR="002D4D5E" w:rsidRDefault="002D4D5E">
      <w:pPr>
        <w:rPr>
          <w:rFonts w:cstheme="minorHAnsi"/>
          <w:b/>
          <w:i/>
        </w:rPr>
      </w:pPr>
    </w:p>
    <w:p w14:paraId="280087DF" w14:textId="13A47BAE" w:rsidR="002D4D5E" w:rsidRDefault="002D4D5E">
      <w:pPr>
        <w:rPr>
          <w:rFonts w:cstheme="minorHAnsi"/>
          <w:b/>
          <w:i/>
        </w:rPr>
      </w:pPr>
    </w:p>
    <w:p w14:paraId="13DE036D" w14:textId="48FFA262" w:rsidR="00BE7871" w:rsidRDefault="00BE7871">
      <w:pPr>
        <w:rPr>
          <w:rFonts w:cstheme="minorHAnsi"/>
          <w:b/>
          <w:i/>
        </w:rPr>
      </w:pPr>
    </w:p>
    <w:p w14:paraId="3D3B0E33" w14:textId="461D3145" w:rsidR="004937B6" w:rsidRDefault="004937B6">
      <w:pPr>
        <w:rPr>
          <w:rFonts w:asciiTheme="majorHAnsi" w:eastAsiaTheme="majorEastAsia" w:hAnsiTheme="majorHAnsi" w:cstheme="majorBidi"/>
          <w:b/>
          <w:color w:val="2F5496" w:themeColor="accent1" w:themeShade="BF"/>
          <w:sz w:val="26"/>
          <w:szCs w:val="26"/>
        </w:rPr>
      </w:pPr>
      <w:r w:rsidRPr="00FD7F1F">
        <w:rPr>
          <w:rFonts w:cstheme="minorHAnsi"/>
          <w:b/>
          <w:i/>
        </w:rPr>
        <w:t>Select all that apply.</w:t>
      </w:r>
    </w:p>
    <w:p w14:paraId="1D9C8130" w14:textId="5DAD409E" w:rsidR="004937B6" w:rsidRDefault="007C756C" w:rsidP="007C756C">
      <w:pPr>
        <w:ind w:left="720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HAns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2D5EC" wp14:editId="3A918BDA">
                <wp:simplePos x="0" y="0"/>
                <wp:positionH relativeFrom="margin">
                  <wp:posOffset>180975</wp:posOffset>
                </wp:positionH>
                <wp:positionV relativeFrom="paragraph">
                  <wp:posOffset>48260</wp:posOffset>
                </wp:positionV>
                <wp:extent cx="161925" cy="190500"/>
                <wp:effectExtent l="19050" t="1905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ECA03" id="Rounded Rectangle 2" o:spid="_x0000_s1026" style="position:absolute;margin-left:14.25pt;margin-top:3.8pt;width:12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" fillcolor="white [3201]" strokecolor="black [3213]" strokeweight="2.25pt">
                <v:stroke joinstyle="miter"/>
                <w10:wrap anchorx="margin"/>
              </v:roundrect>
            </w:pict>
          </mc:Fallback>
        </mc:AlternateContent>
      </w:r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IEP teams use the </w:t>
      </w:r>
      <w:r w:rsidR="002D4D5E" w:rsidRPr="007C756C">
        <w:rPr>
          <w:rFonts w:asciiTheme="majorHAnsi" w:eastAsiaTheme="majorEastAsia" w:hAnsiTheme="majorHAnsi" w:cstheme="majorHAnsi"/>
          <w:b/>
          <w:i/>
          <w:color w:val="000000" w:themeColor="text1"/>
          <w:sz w:val="26"/>
          <w:szCs w:val="26"/>
          <w:u w:val="single"/>
        </w:rPr>
        <w:t>Alternate Assessment Criteria</w:t>
      </w:r>
      <w:r w:rsidR="002D4D5E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 </w:t>
      </w:r>
      <w:r w:rsidR="002D4D5E" w:rsidRPr="007C756C">
        <w:rPr>
          <w:rFonts w:asciiTheme="majorHAnsi" w:eastAsiaTheme="majorEastAsia" w:hAnsiTheme="majorHAnsi" w:cstheme="majorHAnsi"/>
          <w:b/>
          <w:color w:val="0070C0"/>
          <w:sz w:val="26"/>
          <w:szCs w:val="26"/>
        </w:rPr>
        <w:t>(</w:t>
      </w:r>
      <w:hyperlink r:id="rId8" w:history="1">
        <w:r w:rsidRPr="00B32394">
          <w:rPr>
            <w:rStyle w:val="Hyperlink"/>
            <w:rFonts w:asciiTheme="majorHAnsi" w:eastAsiaTheme="majorEastAsia" w:hAnsiTheme="majorHAnsi" w:cstheme="majorHAnsi"/>
            <w:b/>
          </w:rPr>
          <w:t>https://cdn.education.ne.gov/wp-</w:t>
        </w:r>
      </w:hyperlink>
      <w:r w:rsidR="00A70C2E" w:rsidRPr="007C756C">
        <w:rPr>
          <w:rStyle w:val="Hyperlink"/>
          <w:rFonts w:asciiTheme="majorHAnsi" w:eastAsiaTheme="majorEastAsia" w:hAnsiTheme="majorHAnsi" w:cstheme="majorHAnsi"/>
          <w:b/>
          <w:color w:val="4472C4" w:themeColor="accent1"/>
        </w:rPr>
        <w:t>content/uploads/2018/01/Alternate-Assessment-Criteria-Updated-11_29.pdf</w:t>
      </w:r>
      <w:r w:rsidR="002D4D5E" w:rsidRPr="007C756C">
        <w:rPr>
          <w:rStyle w:val="Hyperlink"/>
          <w:rFonts w:asciiTheme="majorHAnsi" w:eastAsiaTheme="majorEastAsia" w:hAnsiTheme="majorHAnsi" w:cstheme="majorHAnsi"/>
          <w:b/>
          <w:color w:val="4472C4" w:themeColor="accent1"/>
          <w:sz w:val="26"/>
          <w:szCs w:val="26"/>
        </w:rPr>
        <w:t>)</w:t>
      </w:r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 for determining eligibility for the alternate assessment. </w:t>
      </w:r>
    </w:p>
    <w:p w14:paraId="5A94D83F" w14:textId="77777777" w:rsidR="00721E9B" w:rsidRPr="007C756C" w:rsidRDefault="00721E9B" w:rsidP="007C756C">
      <w:pPr>
        <w:ind w:left="720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</w:p>
    <w:p w14:paraId="1814CCEE" w14:textId="4FEE2DCC" w:rsidR="004937B6" w:rsidRDefault="007C756C" w:rsidP="007C756C">
      <w:pPr>
        <w:tabs>
          <w:tab w:val="left" w:pos="810"/>
        </w:tabs>
        <w:ind w:left="720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HAns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1FF91" wp14:editId="2F0F073A">
                <wp:simplePos x="0" y="0"/>
                <wp:positionH relativeFrom="margin">
                  <wp:posOffset>180975</wp:posOffset>
                </wp:positionH>
                <wp:positionV relativeFrom="paragraph">
                  <wp:posOffset>56515</wp:posOffset>
                </wp:positionV>
                <wp:extent cx="161925" cy="19050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AD3ED" id="Rounded Rectangle 6" o:spid="_x0000_s1026" style="position:absolute;margin-left:14.25pt;margin-top:4.45pt;width:12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" fillcolor="window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IEP teams determine eligibility for the alternate assessment using the </w:t>
      </w:r>
      <w:r w:rsidR="002D4D5E" w:rsidRPr="007C756C">
        <w:rPr>
          <w:rStyle w:val="Hyperlink"/>
          <w:rFonts w:asciiTheme="majorHAnsi" w:eastAsiaTheme="majorEastAsia" w:hAnsiTheme="majorHAnsi" w:cstheme="majorHAnsi"/>
          <w:b/>
          <w:i/>
          <w:color w:val="auto"/>
          <w:sz w:val="26"/>
          <w:szCs w:val="26"/>
        </w:rPr>
        <w:t>IEP</w:t>
      </w:r>
      <w:r w:rsidR="002D4D5E" w:rsidRPr="007C756C">
        <w:rPr>
          <w:rFonts w:asciiTheme="majorHAnsi" w:eastAsiaTheme="majorEastAsia" w:hAnsiTheme="majorHAnsi" w:cstheme="majorHAnsi"/>
          <w:b/>
          <w:i/>
          <w:color w:val="000000" w:themeColor="text1"/>
          <w:sz w:val="26"/>
          <w:szCs w:val="26"/>
          <w:u w:val="single"/>
        </w:rPr>
        <w:t xml:space="preserve"> Team Decision Making Flow Chart</w:t>
      </w:r>
      <w:r w:rsidR="002D4D5E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 </w:t>
      </w:r>
      <w:r w:rsidR="002D4D5E" w:rsidRPr="007C756C">
        <w:rPr>
          <w:rFonts w:asciiTheme="majorHAnsi" w:eastAsiaTheme="majorEastAsia" w:hAnsiTheme="majorHAnsi" w:cstheme="majorHAnsi"/>
          <w:b/>
          <w:color w:val="0070C0"/>
          <w:sz w:val="26"/>
          <w:szCs w:val="26"/>
        </w:rPr>
        <w:t>(</w:t>
      </w:r>
      <w:hyperlink r:id="rId9" w:history="1">
        <w:r w:rsidR="002D4D5E" w:rsidRPr="007C756C">
          <w:rPr>
            <w:rStyle w:val="Hyperlink"/>
            <w:rFonts w:asciiTheme="majorHAnsi" w:eastAsiaTheme="majorEastAsia" w:hAnsiTheme="majorHAnsi" w:cstheme="majorHAnsi"/>
            <w:b/>
          </w:rPr>
          <w:t>https://cdn.education.ne.gov/wp-content/uploads/2017/11/IEP-Team-Decision-Making-Flow-Chart-Alternate-Assessment-11-21.pdf</w:t>
        </w:r>
      </w:hyperlink>
      <w:r w:rsidR="002D4D5E" w:rsidRPr="007C756C">
        <w:rPr>
          <w:rFonts w:asciiTheme="majorHAnsi" w:eastAsiaTheme="majorEastAsia" w:hAnsiTheme="majorHAnsi" w:cstheme="majorHAnsi"/>
          <w:b/>
          <w:color w:val="0070C0"/>
        </w:rPr>
        <w:t>)</w:t>
      </w:r>
      <w:r w:rsidR="002D4D5E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 and </w:t>
      </w:r>
      <w:r w:rsidR="002D4D5E" w:rsidRPr="007C756C">
        <w:rPr>
          <w:rFonts w:asciiTheme="majorHAnsi" w:eastAsiaTheme="majorEastAsia" w:hAnsiTheme="majorHAnsi" w:cstheme="majorHAnsi"/>
          <w:b/>
          <w:i/>
          <w:color w:val="000000" w:themeColor="text1"/>
          <w:sz w:val="26"/>
          <w:szCs w:val="26"/>
          <w:u w:val="single"/>
        </w:rPr>
        <w:t>Most Significant Cognitive Disability Definition</w:t>
      </w:r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 </w:t>
      </w:r>
      <w:r w:rsidR="002D4D5E" w:rsidRPr="007C756C">
        <w:rPr>
          <w:rFonts w:asciiTheme="majorHAnsi" w:eastAsiaTheme="majorEastAsia" w:hAnsiTheme="majorHAnsi" w:cstheme="majorHAnsi"/>
          <w:b/>
          <w:color w:val="0070C0"/>
          <w:sz w:val="26"/>
          <w:szCs w:val="26"/>
        </w:rPr>
        <w:t>(</w:t>
      </w:r>
      <w:hyperlink r:id="rId10" w:history="1">
        <w:r w:rsidR="002D4D5E" w:rsidRPr="007C756C">
          <w:rPr>
            <w:rStyle w:val="Hyperlink"/>
            <w:rFonts w:asciiTheme="majorHAnsi" w:eastAsiaTheme="majorEastAsia" w:hAnsiTheme="majorHAnsi" w:cstheme="majorHAnsi"/>
            <w:b/>
          </w:rPr>
          <w:t>https://cdn.education.ne.gov/wp-content/uploads/2018/03/Most-Significant-Cognitive-Disability-Definition.pdf</w:t>
        </w:r>
      </w:hyperlink>
      <w:r w:rsidR="002D4D5E" w:rsidRPr="007C756C">
        <w:rPr>
          <w:rFonts w:asciiTheme="majorHAnsi" w:eastAsiaTheme="majorEastAsia" w:hAnsiTheme="majorHAnsi" w:cstheme="majorHAnsi"/>
          <w:b/>
          <w:color w:val="0070C0"/>
        </w:rPr>
        <w:t>)</w:t>
      </w:r>
      <w:r w:rsidR="002D4D5E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 f</w:t>
      </w:r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or guidance. </w:t>
      </w:r>
    </w:p>
    <w:p w14:paraId="7F5FCDA3" w14:textId="1960E0F3" w:rsidR="00721E9B" w:rsidRDefault="00721E9B" w:rsidP="007C756C">
      <w:pPr>
        <w:tabs>
          <w:tab w:val="left" w:pos="810"/>
        </w:tabs>
        <w:ind w:left="720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</w:p>
    <w:p w14:paraId="3D2F611C" w14:textId="1B38C37A" w:rsidR="00721E9B" w:rsidRPr="007C756C" w:rsidRDefault="00721E9B" w:rsidP="007C756C">
      <w:pPr>
        <w:tabs>
          <w:tab w:val="left" w:pos="810"/>
        </w:tabs>
        <w:ind w:left="720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</w:p>
    <w:p w14:paraId="71068CAB" w14:textId="079ABEEE" w:rsidR="004937B6" w:rsidRDefault="007C756C" w:rsidP="007C756C">
      <w:pPr>
        <w:pStyle w:val="ListParagraph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HAns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BA61E9" wp14:editId="01902E5A">
                <wp:simplePos x="0" y="0"/>
                <wp:positionH relativeFrom="margin">
                  <wp:posOffset>190500</wp:posOffset>
                </wp:positionH>
                <wp:positionV relativeFrom="paragraph">
                  <wp:posOffset>57150</wp:posOffset>
                </wp:positionV>
                <wp:extent cx="161925" cy="190500"/>
                <wp:effectExtent l="19050" t="1905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C0A36" id="Rounded Rectangle 7" o:spid="_x0000_s1026" style="position:absolute;margin-left:15pt;margin-top:4.5pt;width:12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" fillcolor="window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4937B6" w:rsidRPr="009B3E7D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>All alternate assessment test administrators have the required training for administering the alternate assessment.</w:t>
      </w:r>
      <w:bookmarkStart w:id="1" w:name="_GoBack"/>
      <w:bookmarkEnd w:id="1"/>
    </w:p>
    <w:p w14:paraId="569B5D44" w14:textId="016EC244" w:rsidR="007C756C" w:rsidRPr="009B3E7D" w:rsidRDefault="007C756C" w:rsidP="007C756C">
      <w:pPr>
        <w:pStyle w:val="ListParagraph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</w:p>
    <w:p w14:paraId="2F78E0D3" w14:textId="56AEE5D2" w:rsidR="0041443E" w:rsidRPr="00721E9B" w:rsidRDefault="0041443E" w:rsidP="00721E9B">
      <w:pPr>
        <w:pStyle w:val="ListParagraph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  <w:r w:rsidRPr="0041443E">
        <w:rPr>
          <w:rFonts w:asciiTheme="majorHAnsi" w:eastAsiaTheme="majorEastAsia" w:hAnsiTheme="majorHAnsi" w:cstheme="majorHAns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D0D805" wp14:editId="7BFDBAA4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5819775" cy="3419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AFDA0" w14:textId="567BC060" w:rsidR="000D7FBE" w:rsidRPr="00721E9B" w:rsidRDefault="0041443E" w:rsidP="00721E9B">
                            <w:pPr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Describe the trainin</w:t>
                            </w:r>
                            <w:r w:rsidR="00B147B9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g that </w:t>
                            </w:r>
                            <w:proofErr w:type="gramStart"/>
                            <w:r w:rsidR="00B147B9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was provided</w:t>
                            </w:r>
                            <w:proofErr w:type="gramEnd"/>
                            <w:r w:rsidR="00B147B9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to all staff </w:t>
                            </w:r>
                            <w:r w:rsidR="001D49AC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who participate as members of an IEP te</w:t>
                            </w:r>
                            <w:r w:rsidR="00721E9B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1D49AC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and/</w:t>
                            </w:r>
                            <w:r w:rsidR="00721E9B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or placement team</w:t>
                            </w:r>
                            <w:r w:rsidR="001D49AC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so that they understand and implement alternate assessment guidelines established by the state for placement on the alternate assessment appropriately</w:t>
                            </w:r>
                            <w:r w:rsidR="00721E9B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82643E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Include evidence that supports your training (ex. Sign in sheet, handouts, </w:t>
                            </w:r>
                            <w:proofErr w:type="spellStart"/>
                            <w:proofErr w:type="gramStart"/>
                            <w:r w:rsidR="0082643E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powerpoint</w:t>
                            </w:r>
                            <w:proofErr w:type="spellEnd"/>
                            <w:proofErr w:type="gramEnd"/>
                            <w:r w:rsidR="0082643E" w:rsidRPr="005B599B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4"/>
                                <w:szCs w:val="24"/>
                              </w:rPr>
                              <w:t>, etc.)</w:t>
                            </w:r>
                          </w:p>
                          <w:p w14:paraId="700F9665" w14:textId="64A5BA05" w:rsidR="0041443E" w:rsidRDefault="0041443E"/>
                          <w:p w14:paraId="44DE42BC" w14:textId="1DB2F5E0" w:rsidR="00721E9B" w:rsidRDefault="00721E9B"/>
                          <w:p w14:paraId="758F421A" w14:textId="13E7D456" w:rsidR="00721E9B" w:rsidRDefault="00721E9B"/>
                          <w:p w14:paraId="3FC9A881" w14:textId="36523EB8" w:rsidR="00721E9B" w:rsidRDefault="00721E9B"/>
                          <w:p w14:paraId="0C3CFB3A" w14:textId="1A7EA681" w:rsidR="00721E9B" w:rsidRDefault="00721E9B"/>
                          <w:p w14:paraId="07C672D1" w14:textId="632F6822" w:rsidR="00721E9B" w:rsidRDefault="00721E9B"/>
                          <w:p w14:paraId="2CBAC0A3" w14:textId="137CF05B" w:rsidR="00721E9B" w:rsidRDefault="00721E9B"/>
                          <w:p w14:paraId="3B1D7CF2" w14:textId="754F17FE" w:rsidR="00721E9B" w:rsidRDefault="00721E9B"/>
                          <w:p w14:paraId="7658616F" w14:textId="77777777" w:rsidR="00721E9B" w:rsidRDefault="00721E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0D8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7.05pt;margin-top:.05pt;width:458.25pt;height:269.2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">
                <v:textbox>
                  <w:txbxContent>
                    <w:p w14:paraId="0B0AFDA0" w14:textId="567BC060" w:rsidR="000D7FBE" w:rsidRPr="00721E9B" w:rsidRDefault="0041443E" w:rsidP="00721E9B">
                      <w:pPr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</w:pPr>
                      <w:r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Describe the trainin</w:t>
                      </w:r>
                      <w:r w:rsidR="00B147B9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 xml:space="preserve">g that </w:t>
                      </w:r>
                      <w:proofErr w:type="gramStart"/>
                      <w:r w:rsidR="00B147B9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was provided</w:t>
                      </w:r>
                      <w:proofErr w:type="gramEnd"/>
                      <w:r w:rsidR="00B147B9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 xml:space="preserve"> to all staff </w:t>
                      </w:r>
                      <w:r w:rsidR="001D49AC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who participate as members of an IEP te</w:t>
                      </w:r>
                      <w:r w:rsidR="00721E9B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 xml:space="preserve">am </w:t>
                      </w:r>
                      <w:r w:rsidR="001D49AC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and/</w:t>
                      </w:r>
                      <w:r w:rsidR="00721E9B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or placement team</w:t>
                      </w:r>
                      <w:r w:rsidR="001D49AC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 xml:space="preserve"> so that they understand and implement alternate assessment guidelines established by the state for placement on the alternate assessment appropriately</w:t>
                      </w:r>
                      <w:r w:rsidR="00721E9B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  <w:r w:rsidR="0082643E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 xml:space="preserve"> Include evidence that supports your training (ex. Sign in sheet, handouts, </w:t>
                      </w:r>
                      <w:proofErr w:type="spellStart"/>
                      <w:proofErr w:type="gramStart"/>
                      <w:r w:rsidR="0082643E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powerpoint</w:t>
                      </w:r>
                      <w:proofErr w:type="spellEnd"/>
                      <w:proofErr w:type="gramEnd"/>
                      <w:r w:rsidR="0082643E" w:rsidRPr="005B599B">
                        <w:rPr>
                          <w:rFonts w:asciiTheme="majorHAnsi" w:hAnsiTheme="majorHAnsi" w:cstheme="majorHAnsi"/>
                          <w:b/>
                          <w:i/>
                          <w:sz w:val="24"/>
                          <w:szCs w:val="24"/>
                        </w:rPr>
                        <w:t>, etc.)</w:t>
                      </w:r>
                    </w:p>
                    <w:p w14:paraId="700F9665" w14:textId="64A5BA05" w:rsidR="0041443E" w:rsidRDefault="0041443E"/>
                    <w:p w14:paraId="44DE42BC" w14:textId="1DB2F5E0" w:rsidR="00721E9B" w:rsidRDefault="00721E9B"/>
                    <w:p w14:paraId="758F421A" w14:textId="13E7D456" w:rsidR="00721E9B" w:rsidRDefault="00721E9B"/>
                    <w:p w14:paraId="3FC9A881" w14:textId="36523EB8" w:rsidR="00721E9B" w:rsidRDefault="00721E9B"/>
                    <w:p w14:paraId="0C3CFB3A" w14:textId="1A7EA681" w:rsidR="00721E9B" w:rsidRDefault="00721E9B"/>
                    <w:p w14:paraId="07C672D1" w14:textId="632F6822" w:rsidR="00721E9B" w:rsidRDefault="00721E9B"/>
                    <w:p w14:paraId="2CBAC0A3" w14:textId="137CF05B" w:rsidR="00721E9B" w:rsidRDefault="00721E9B"/>
                    <w:p w14:paraId="3B1D7CF2" w14:textId="754F17FE" w:rsidR="00721E9B" w:rsidRDefault="00721E9B"/>
                    <w:p w14:paraId="7658616F" w14:textId="77777777" w:rsidR="00721E9B" w:rsidRDefault="00721E9B"/>
                  </w:txbxContent>
                </v:textbox>
                <w10:wrap type="square" anchorx="margin"/>
              </v:shape>
            </w:pict>
          </mc:Fallback>
        </mc:AlternateContent>
      </w:r>
    </w:p>
    <w:p w14:paraId="37ACC7F4" w14:textId="77777777" w:rsidR="0041443E" w:rsidRDefault="0041443E" w:rsidP="00BE7871">
      <w:pPr>
        <w:pStyle w:val="ListParagraph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</w:p>
    <w:p w14:paraId="234F5D88" w14:textId="5DD587DB" w:rsidR="004937B6" w:rsidRPr="007C756C" w:rsidRDefault="007C756C" w:rsidP="007C756C">
      <w:pPr>
        <w:ind w:left="720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  <w:r>
        <w:rPr>
          <w:rFonts w:asciiTheme="majorHAnsi" w:eastAsiaTheme="majorEastAsia" w:hAnsiTheme="majorHAnsi" w:cstheme="majorHAnsi"/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C9CE99" wp14:editId="59068D6E">
                <wp:simplePos x="0" y="0"/>
                <wp:positionH relativeFrom="margin">
                  <wp:posOffset>200025</wp:posOffset>
                </wp:positionH>
                <wp:positionV relativeFrom="paragraph">
                  <wp:posOffset>56515</wp:posOffset>
                </wp:positionV>
                <wp:extent cx="161925" cy="190500"/>
                <wp:effectExtent l="19050" t="1905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A10BB" id="Rounded Rectangle 8" o:spid="_x0000_s1026" style="position:absolute;margin-left:15.75pt;margin-top:4.45pt;width:12.7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" fillcolor="window" strokecolor="windowText" strokeweight="2.25pt">
                <v:stroke joinstyle="miter"/>
                <w10:wrap anchorx="margin"/>
              </v:roundrect>
            </w:pict>
          </mc:Fallback>
        </mc:AlternateContent>
      </w:r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IEP teams ensures that the decision for a student to participate in the alternate assessment </w:t>
      </w:r>
      <w:proofErr w:type="gramStart"/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>are NOT based</w:t>
      </w:r>
      <w:proofErr w:type="gramEnd"/>
      <w:r w:rsidR="004937B6" w:rsidRPr="007C756C"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  <w:t xml:space="preserve"> on the following criteria; </w:t>
      </w:r>
    </w:p>
    <w:p w14:paraId="36C3E2FA" w14:textId="77777777" w:rsidR="004937B6" w:rsidRPr="009B3E7D" w:rsidRDefault="004937B6" w:rsidP="004937B6">
      <w:pPr>
        <w:pStyle w:val="ListParagraph"/>
        <w:rPr>
          <w:rFonts w:asciiTheme="majorHAnsi" w:eastAsiaTheme="majorEastAsia" w:hAnsiTheme="majorHAnsi" w:cstheme="majorHAnsi"/>
          <w:b/>
          <w:color w:val="000000" w:themeColor="text1"/>
          <w:sz w:val="26"/>
          <w:szCs w:val="26"/>
        </w:rPr>
      </w:pPr>
    </w:p>
    <w:p w14:paraId="13E76FFB" w14:textId="77777777" w:rsidR="009B3E7D" w:rsidRPr="009B3E7D" w:rsidRDefault="004937B6" w:rsidP="009B3E7D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Disability Category</w:t>
      </w:r>
    </w:p>
    <w:p w14:paraId="30BFBDE3" w14:textId="77777777" w:rsidR="004937B6" w:rsidRPr="009B3E7D" w:rsidRDefault="004937B6" w:rsidP="009B3E7D">
      <w:pPr>
        <w:pStyle w:val="ListParagraph"/>
        <w:numPr>
          <w:ilvl w:val="0"/>
          <w:numId w:val="6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Poor/extended absences</w:t>
      </w:r>
    </w:p>
    <w:p w14:paraId="46E46ECD" w14:textId="77777777" w:rsidR="009B3E7D" w:rsidRPr="009B3E7D" w:rsidRDefault="009B3E7D" w:rsidP="004937B6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English Learner status</w:t>
      </w:r>
      <w: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ab/>
      </w:r>
      <w: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ab/>
      </w:r>
      <w: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ab/>
      </w:r>
    </w:p>
    <w:p w14:paraId="447B974C" w14:textId="77777777" w:rsidR="009B3E7D" w:rsidRPr="009B3E7D" w:rsidRDefault="009B3E7D" w:rsidP="009B3E7D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Anticipated emotional duress</w:t>
      </w: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ab/>
      </w: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ab/>
      </w:r>
    </w:p>
    <w:p w14:paraId="54681CDE" w14:textId="77777777" w:rsidR="009B3E7D" w:rsidRPr="009B3E7D" w:rsidRDefault="009B3E7D" w:rsidP="009B3E7D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Educational/Instructional setting</w:t>
      </w: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ab/>
      </w:r>
    </w:p>
    <w:p w14:paraId="39285DD2" w14:textId="77777777" w:rsidR="009B3E7D" w:rsidRPr="009B3E7D" w:rsidRDefault="009B3E7D" w:rsidP="009B3E7D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Low achievement level</w:t>
      </w:r>
    </w:p>
    <w:p w14:paraId="5CA40DB7" w14:textId="77777777" w:rsidR="009B3E7D" w:rsidRPr="009B3E7D" w:rsidRDefault="009B3E7D" w:rsidP="009B3E7D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Academic and other services the student receives</w:t>
      </w:r>
    </w:p>
    <w:p w14:paraId="1CAF09D0" w14:textId="77777777" w:rsidR="004937B6" w:rsidRPr="009B3E7D" w:rsidRDefault="004937B6" w:rsidP="009B3E7D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Native</w:t>
      </w:r>
      <w:r w:rsidR="009B3E7D"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 xml:space="preserve"> language, social or cultural or economic differences</w:t>
      </w:r>
    </w:p>
    <w:p w14:paraId="02182C5C" w14:textId="77777777" w:rsidR="009B3E7D" w:rsidRPr="009B3E7D" w:rsidRDefault="009B3E7D" w:rsidP="004937B6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color w:val="000000" w:themeColor="text1"/>
          <w:sz w:val="24"/>
          <w:szCs w:val="24"/>
        </w:rPr>
        <w:t>Expected poor performance on the general assessment</w:t>
      </w:r>
    </w:p>
    <w:p w14:paraId="746A76F2" w14:textId="77777777" w:rsidR="009B3E7D" w:rsidRPr="009B3E7D" w:rsidRDefault="009B3E7D" w:rsidP="004937B6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sz w:val="24"/>
          <w:szCs w:val="24"/>
        </w:rPr>
        <w:t>Impact of student scores on the accountability system</w:t>
      </w:r>
    </w:p>
    <w:p w14:paraId="33622498" w14:textId="77777777" w:rsidR="009B3E7D" w:rsidRPr="009B3E7D" w:rsidRDefault="009B3E7D" w:rsidP="004937B6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sz w:val="24"/>
          <w:szCs w:val="24"/>
        </w:rPr>
        <w:t xml:space="preserve"> Percent of time receiving special education services</w:t>
      </w:r>
    </w:p>
    <w:p w14:paraId="57229D61" w14:textId="77777777" w:rsidR="009B3E7D" w:rsidRPr="009B3E7D" w:rsidRDefault="009B3E7D" w:rsidP="004937B6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sz w:val="24"/>
          <w:szCs w:val="24"/>
        </w:rPr>
        <w:t xml:space="preserve"> Administration decision</w:t>
      </w:r>
    </w:p>
    <w:p w14:paraId="65FC7AFC" w14:textId="77777777" w:rsidR="009B3E7D" w:rsidRPr="009B3E7D" w:rsidRDefault="009B3E7D" w:rsidP="004937B6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9B3E7D">
        <w:rPr>
          <w:rFonts w:asciiTheme="majorHAnsi" w:eastAsiaTheme="majorEastAsia" w:hAnsiTheme="majorHAnsi" w:cstheme="majorHAnsi"/>
          <w:b/>
          <w:sz w:val="24"/>
          <w:szCs w:val="24"/>
        </w:rPr>
        <w:t xml:space="preserve"> Anticipated disruptive behavior</w:t>
      </w:r>
    </w:p>
    <w:p w14:paraId="22071334" w14:textId="77777777" w:rsidR="009B3E7D" w:rsidRPr="009B3E7D" w:rsidRDefault="009B3E7D" w:rsidP="004937B6">
      <w:pPr>
        <w:pStyle w:val="ListParagraph"/>
        <w:numPr>
          <w:ilvl w:val="0"/>
          <w:numId w:val="7"/>
        </w:numPr>
        <w:rPr>
          <w:rFonts w:asciiTheme="majorHAnsi" w:eastAsiaTheme="majorEastAsia" w:hAnsiTheme="majorHAnsi" w:cstheme="majorHAnsi"/>
          <w:b/>
          <w:color w:val="2F5496" w:themeColor="accent1" w:themeShade="BF"/>
          <w:sz w:val="26"/>
          <w:szCs w:val="26"/>
        </w:rPr>
      </w:pPr>
      <w:r w:rsidRPr="009B3E7D">
        <w:rPr>
          <w:rFonts w:asciiTheme="majorHAnsi" w:hAnsiTheme="majorHAnsi" w:cstheme="majorHAnsi"/>
          <w:b/>
          <w:sz w:val="24"/>
          <w:szCs w:val="24"/>
        </w:rPr>
        <w:t xml:space="preserve">Need for accommodations </w:t>
      </w:r>
      <w:r w:rsidRPr="00BA3433">
        <w:rPr>
          <w:rFonts w:asciiTheme="majorHAnsi" w:hAnsiTheme="majorHAnsi" w:cstheme="majorHAnsi"/>
          <w:b/>
          <w:sz w:val="24"/>
          <w:szCs w:val="24"/>
        </w:rPr>
        <w:t>(e.g., assistive technology; augmentative and alternative communication (AAC) to participate in the assessment process)</w:t>
      </w:r>
    </w:p>
    <w:sectPr w:rsidR="009B3E7D" w:rsidRPr="009B3E7D" w:rsidSect="0073074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58D46" w14:textId="77777777" w:rsidR="00F33684" w:rsidRDefault="00F33684" w:rsidP="00A406A9">
      <w:pPr>
        <w:spacing w:after="0" w:line="240" w:lineRule="auto"/>
      </w:pPr>
      <w:r>
        <w:separator/>
      </w:r>
    </w:p>
  </w:endnote>
  <w:endnote w:type="continuationSeparator" w:id="0">
    <w:p w14:paraId="46F6DA38" w14:textId="77777777" w:rsidR="00F33684" w:rsidRDefault="00F33684" w:rsidP="00A40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Z@RDFE6.tmp">
    <w:altName w:val="Courier New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6B58E" w14:textId="77777777" w:rsidR="00F33684" w:rsidRDefault="00F33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78484" w14:textId="77777777" w:rsidR="00F33684" w:rsidRDefault="00F33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F58F8" w14:textId="77777777" w:rsidR="00F33684" w:rsidRDefault="00F33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7B765" w14:textId="77777777" w:rsidR="00F33684" w:rsidRDefault="00F33684" w:rsidP="00A406A9">
      <w:pPr>
        <w:spacing w:after="0" w:line="240" w:lineRule="auto"/>
      </w:pPr>
      <w:r>
        <w:separator/>
      </w:r>
    </w:p>
  </w:footnote>
  <w:footnote w:type="continuationSeparator" w:id="0">
    <w:p w14:paraId="0E5047CD" w14:textId="77777777" w:rsidR="00F33684" w:rsidRDefault="00F33684" w:rsidP="00A40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7CDA3" w14:textId="229FF874" w:rsidR="00F33684" w:rsidRDefault="001801C3">
    <w:pPr>
      <w:pStyle w:val="Header"/>
    </w:pPr>
    <w:r>
      <w:rPr>
        <w:noProof/>
      </w:rPr>
      <w:pict w14:anchorId="3D69E5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43407" o:spid="_x0000_s16398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525252 [1606]" stroked="f">
          <v:textpath style="font-family:&quot;Century Gothic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D6333" w14:textId="31C594A2" w:rsidR="00F33684" w:rsidRDefault="001801C3">
    <w:pPr>
      <w:pStyle w:val="Header"/>
    </w:pPr>
    <w:r>
      <w:rPr>
        <w:noProof/>
      </w:rPr>
      <w:pict w14:anchorId="0021F5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43408" o:spid="_x0000_s1639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#525252 [1606]" stroked="f">
          <v:textpath style="font-family:&quot;Century Gothic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BA609" w14:textId="64E1D3A9" w:rsidR="00F33684" w:rsidRDefault="001801C3">
    <w:pPr>
      <w:pStyle w:val="Header"/>
    </w:pPr>
    <w:r>
      <w:rPr>
        <w:noProof/>
      </w:rPr>
      <w:pict w14:anchorId="075BB9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0843406" o:spid="_x0000_s16397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525252 [1606]" stroked="f">
          <v:textpath style="font-family:&quot;Century Gothic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2156"/>
    <w:multiLevelType w:val="hybridMultilevel"/>
    <w:tmpl w:val="5B646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85B"/>
    <w:multiLevelType w:val="hybridMultilevel"/>
    <w:tmpl w:val="CCF8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2A76"/>
    <w:multiLevelType w:val="hybridMultilevel"/>
    <w:tmpl w:val="BD783EC8"/>
    <w:lvl w:ilvl="0" w:tplc="B7BE6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AD4BEB"/>
    <w:multiLevelType w:val="hybridMultilevel"/>
    <w:tmpl w:val="7318E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078F3"/>
    <w:multiLevelType w:val="hybridMultilevel"/>
    <w:tmpl w:val="B590E3F4"/>
    <w:lvl w:ilvl="0" w:tplc="950685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E85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002E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11CBF6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746B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06DB3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E48CC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21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0613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25E22"/>
    <w:multiLevelType w:val="hybridMultilevel"/>
    <w:tmpl w:val="D7FC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73C96"/>
    <w:multiLevelType w:val="hybridMultilevel"/>
    <w:tmpl w:val="549C5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5694C"/>
    <w:multiLevelType w:val="hybridMultilevel"/>
    <w:tmpl w:val="9F3C2B38"/>
    <w:lvl w:ilvl="0" w:tplc="6B9008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0390C"/>
    <w:multiLevelType w:val="hybridMultilevel"/>
    <w:tmpl w:val="A0ECEFCA"/>
    <w:lvl w:ilvl="0" w:tplc="A2EEF7F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A42020"/>
    <w:multiLevelType w:val="hybridMultilevel"/>
    <w:tmpl w:val="4AB2E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40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F0"/>
    <w:rsid w:val="000B4229"/>
    <w:rsid w:val="000D7FBE"/>
    <w:rsid w:val="001725D5"/>
    <w:rsid w:val="001778EF"/>
    <w:rsid w:val="001801C3"/>
    <w:rsid w:val="001C048E"/>
    <w:rsid w:val="001D49AC"/>
    <w:rsid w:val="00204881"/>
    <w:rsid w:val="002B7768"/>
    <w:rsid w:val="002D4D5E"/>
    <w:rsid w:val="003435F0"/>
    <w:rsid w:val="0038323F"/>
    <w:rsid w:val="0041443E"/>
    <w:rsid w:val="004937B6"/>
    <w:rsid w:val="00592E64"/>
    <w:rsid w:val="005B599B"/>
    <w:rsid w:val="00650A21"/>
    <w:rsid w:val="006B35B3"/>
    <w:rsid w:val="006F5C6F"/>
    <w:rsid w:val="00721E9B"/>
    <w:rsid w:val="0073074B"/>
    <w:rsid w:val="007C756C"/>
    <w:rsid w:val="0082643E"/>
    <w:rsid w:val="008417D7"/>
    <w:rsid w:val="00964F1B"/>
    <w:rsid w:val="009B3E7D"/>
    <w:rsid w:val="009B5AA3"/>
    <w:rsid w:val="00A406A9"/>
    <w:rsid w:val="00A70C2E"/>
    <w:rsid w:val="00B147B9"/>
    <w:rsid w:val="00BA3433"/>
    <w:rsid w:val="00BE7871"/>
    <w:rsid w:val="00C352AD"/>
    <w:rsid w:val="00C6197A"/>
    <w:rsid w:val="00D57F41"/>
    <w:rsid w:val="00E92F4F"/>
    <w:rsid w:val="00E95E22"/>
    <w:rsid w:val="00F24D01"/>
    <w:rsid w:val="00F3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0"/>
    <o:shapelayout v:ext="edit">
      <o:idmap v:ext="edit" data="1"/>
    </o:shapelayout>
  </w:shapeDefaults>
  <w:decimalSymbol w:val="."/>
  <w:listSeparator w:val=","/>
  <w14:docId w14:val="222974B5"/>
  <w15:chartTrackingRefBased/>
  <w15:docId w15:val="{01671478-0834-408F-9773-733A04CC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3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35F0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5F0"/>
    <w:pPr>
      <w:keepNext/>
      <w:keepLines/>
      <w:widowControl w:val="0"/>
      <w:autoSpaceDE w:val="0"/>
      <w:autoSpaceDN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35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35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343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5F0"/>
    <w:pPr>
      <w:widowControl w:val="0"/>
      <w:autoSpaceDE w:val="0"/>
      <w:autoSpaceDN w:val="0"/>
      <w:spacing w:after="0" w:line="240" w:lineRule="auto"/>
    </w:pPr>
    <w:rPr>
      <w:rFonts w:ascii="Z@RDFE6.tmp" w:eastAsia="Z@RDFE6.tmp" w:hAnsi="Z@RDFE6.tmp" w:cs="Z@RDFE6.tmp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5F0"/>
    <w:rPr>
      <w:rFonts w:ascii="Z@RDFE6.tmp" w:eastAsia="Z@RDFE6.tmp" w:hAnsi="Z@RDFE6.tmp" w:cs="Z@RDFE6.tmp"/>
      <w:sz w:val="20"/>
      <w:szCs w:val="20"/>
    </w:rPr>
  </w:style>
  <w:style w:type="table" w:styleId="TableGrid">
    <w:name w:val="Table Grid"/>
    <w:basedOn w:val="TableNormal"/>
    <w:uiPriority w:val="39"/>
    <w:rsid w:val="0034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35F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Z@RDFE6.tmp" w:eastAsia="Z@RDFE6.tmp" w:hAnsi="Z@RDFE6.tmp" w:cs="Z@RDFE6.tmp"/>
    </w:rPr>
  </w:style>
  <w:style w:type="paragraph" w:styleId="NormalWeb">
    <w:name w:val="Normal (Web)"/>
    <w:basedOn w:val="Normal"/>
    <w:uiPriority w:val="99"/>
    <w:semiHidden/>
    <w:unhideWhenUsed/>
    <w:rsid w:val="003435F0"/>
    <w:pPr>
      <w:widowControl w:val="0"/>
      <w:autoSpaceDE w:val="0"/>
      <w:autoSpaceDN w:val="0"/>
      <w:spacing w:after="0" w:line="240" w:lineRule="auto"/>
    </w:pPr>
    <w:rPr>
      <w:rFonts w:ascii="Times New Roman" w:eastAsia="Z@RDFE6.tmp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5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35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37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37B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A9"/>
  </w:style>
  <w:style w:type="paragraph" w:styleId="Footer">
    <w:name w:val="footer"/>
    <w:basedOn w:val="Normal"/>
    <w:link w:val="FooterChar"/>
    <w:uiPriority w:val="99"/>
    <w:unhideWhenUsed/>
    <w:rsid w:val="00A40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7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education.ne.gov/wp-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cdn.education.ne.gov/wp-content/uploads/2018/03/Most-Significant-Cognitive-Disability-Defini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n.education.ne.gov/wp-content/uploads/2017/11/IEP-Team-Decision-Making-Flow-Chart-Alternate-Assessment-11-21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3A6F7-EE40-40D9-8C87-85F4F4D5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63A4E5F</Template>
  <TotalTime>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Rollings, Cathie</dc:creator>
  <cp:keywords/>
  <dc:description/>
  <cp:lastModifiedBy>Sharon Heater</cp:lastModifiedBy>
  <cp:revision>2</cp:revision>
  <cp:lastPrinted>2019-10-04T18:05:00Z</cp:lastPrinted>
  <dcterms:created xsi:type="dcterms:W3CDTF">2019-10-04T18:39:00Z</dcterms:created>
  <dcterms:modified xsi:type="dcterms:W3CDTF">2019-10-04T18:39:00Z</dcterms:modified>
</cp:coreProperties>
</file>