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7D786" w14:textId="34BCDAE9" w:rsidR="00C74897" w:rsidRPr="0073177D" w:rsidRDefault="00C74897" w:rsidP="0073177D">
      <w:pPr>
        <w:jc w:val="center"/>
        <w:rPr>
          <w:b/>
          <w:sz w:val="36"/>
          <w:szCs w:val="36"/>
        </w:rPr>
      </w:pPr>
      <w:bookmarkStart w:id="0" w:name="_GoBack"/>
      <w:bookmarkEnd w:id="0"/>
      <w:r w:rsidRPr="00DF4B6B">
        <w:rPr>
          <w:b/>
          <w:sz w:val="36"/>
          <w:szCs w:val="36"/>
        </w:rPr>
        <w:t xml:space="preserve">Preface to </w:t>
      </w:r>
      <w:r w:rsidR="00702858">
        <w:rPr>
          <w:b/>
          <w:sz w:val="36"/>
          <w:szCs w:val="36"/>
        </w:rPr>
        <w:t>NSCAS-</w:t>
      </w:r>
      <w:r w:rsidRPr="00DF4B6B">
        <w:rPr>
          <w:b/>
          <w:sz w:val="36"/>
          <w:szCs w:val="36"/>
        </w:rPr>
        <w:t xml:space="preserve">ACT </w:t>
      </w:r>
      <w:r w:rsidR="00DF4B6B" w:rsidRPr="00DF4B6B">
        <w:rPr>
          <w:b/>
          <w:sz w:val="36"/>
          <w:szCs w:val="36"/>
        </w:rPr>
        <w:t xml:space="preserve">State </w:t>
      </w:r>
      <w:r w:rsidRPr="00DF4B6B">
        <w:rPr>
          <w:b/>
          <w:sz w:val="36"/>
          <w:szCs w:val="36"/>
        </w:rPr>
        <w:t>Performance Level Descriptors</w:t>
      </w:r>
    </w:p>
    <w:p w14:paraId="768401B9" w14:textId="77777777" w:rsidR="00C74897" w:rsidRPr="002B683A" w:rsidRDefault="00C74897">
      <w:pPr>
        <w:rPr>
          <w:rFonts w:cstheme="minorHAnsi"/>
          <w:b/>
        </w:rPr>
      </w:pPr>
      <w:r w:rsidRPr="002B683A">
        <w:rPr>
          <w:rFonts w:cstheme="minorHAnsi"/>
          <w:b/>
        </w:rPr>
        <w:t>Background</w:t>
      </w:r>
    </w:p>
    <w:p w14:paraId="41431270" w14:textId="7BCB2DE3" w:rsidR="00C74897" w:rsidRPr="002B683A" w:rsidRDefault="00C74897">
      <w:pPr>
        <w:rPr>
          <w:rFonts w:cstheme="minorHAnsi"/>
        </w:rPr>
      </w:pPr>
      <w:r w:rsidRPr="002B683A">
        <w:rPr>
          <w:rFonts w:cstheme="minorHAnsi"/>
        </w:rPr>
        <w:t>Per State Statute 79-759., a college entrance exam is administered to all third-year cohort as the statewide assessment for high school for the state of Nebraska</w:t>
      </w:r>
      <w:r w:rsidR="00C63638" w:rsidRPr="002B683A">
        <w:rPr>
          <w:rFonts w:cstheme="minorHAnsi"/>
        </w:rPr>
        <w:t>, beginning in spring 2017</w:t>
      </w:r>
      <w:r w:rsidRPr="002B683A">
        <w:rPr>
          <w:rFonts w:cstheme="minorHAnsi"/>
        </w:rPr>
        <w:t>.  The Assessment Team at Nebraska Department of Education manages the implementation of 79-759.  Based on responses to a Request for Proposal, the ACT was selected as th</w:t>
      </w:r>
      <w:r w:rsidR="00C63638" w:rsidRPr="002B683A">
        <w:rPr>
          <w:rFonts w:cstheme="minorHAnsi"/>
        </w:rPr>
        <w:t xml:space="preserve">e state test to be administered. </w:t>
      </w:r>
      <w:r w:rsidRPr="002B683A">
        <w:rPr>
          <w:rFonts w:cstheme="minorHAnsi"/>
        </w:rPr>
        <w:t>While ACT does provide Performance Level Descriptors, administration of the ACT required that Nebraska educators in conjunction with the Assessment Team at NDE r</w:t>
      </w:r>
      <w:r w:rsidR="00C63638" w:rsidRPr="002B683A">
        <w:rPr>
          <w:rFonts w:cstheme="minorHAnsi"/>
        </w:rPr>
        <w:t>ecommend cut scores for use as state reporting of ACT results for state and federal accountability purposes</w:t>
      </w:r>
      <w:r w:rsidR="0073177D">
        <w:rPr>
          <w:rFonts w:cstheme="minorHAnsi"/>
        </w:rPr>
        <w:t>, a standard setting process.</w:t>
      </w:r>
      <w:r w:rsidRPr="002B683A">
        <w:rPr>
          <w:rFonts w:cstheme="minorHAnsi"/>
        </w:rPr>
        <w:t xml:space="preserve"> </w:t>
      </w:r>
    </w:p>
    <w:p w14:paraId="452732D2" w14:textId="77777777" w:rsidR="00C63638" w:rsidRPr="002B683A" w:rsidRDefault="00C63638" w:rsidP="00E7146B">
      <w:pPr>
        <w:pStyle w:val="Heading3"/>
        <w:widowControl w:val="0"/>
        <w:kinsoku w:val="0"/>
        <w:overflowPunct w:val="0"/>
        <w:autoSpaceDE w:val="0"/>
        <w:autoSpaceDN w:val="0"/>
        <w:adjustRightInd w:val="0"/>
        <w:spacing w:before="0" w:line="240" w:lineRule="auto"/>
        <w:rPr>
          <w:rFonts w:asciiTheme="minorHAnsi" w:hAnsiTheme="minorHAnsi" w:cstheme="minorHAnsi"/>
          <w:sz w:val="22"/>
        </w:rPr>
      </w:pPr>
      <w:r w:rsidRPr="002B683A">
        <w:rPr>
          <w:rFonts w:asciiTheme="minorHAnsi" w:hAnsiTheme="minorHAnsi" w:cstheme="minorHAnsi"/>
          <w:sz w:val="22"/>
        </w:rPr>
        <w:t>Standard Setting</w:t>
      </w:r>
    </w:p>
    <w:p w14:paraId="0BD57DDB" w14:textId="77777777" w:rsidR="00C63638" w:rsidRPr="002B683A" w:rsidRDefault="00C63638" w:rsidP="00E7146B">
      <w:pPr>
        <w:pStyle w:val="ListParagraph"/>
        <w:numPr>
          <w:ilvl w:val="0"/>
          <w:numId w:val="5"/>
        </w:numPr>
        <w:contextualSpacing w:val="0"/>
        <w:rPr>
          <w:rFonts w:asciiTheme="minorHAnsi" w:hAnsiTheme="minorHAnsi" w:cstheme="minorHAnsi"/>
        </w:rPr>
      </w:pPr>
      <w:r w:rsidRPr="002B683A">
        <w:rPr>
          <w:rFonts w:asciiTheme="minorHAnsi" w:hAnsiTheme="minorHAnsi" w:cstheme="minorHAnsi"/>
        </w:rPr>
        <w:t>Nebraska Department of Education must report statewide summative scores in at least three levels for state accountability and on the Nebraska Education Profile (NEP).  In the past</w:t>
      </w:r>
      <w:r w:rsidR="002B683A" w:rsidRPr="002B683A">
        <w:rPr>
          <w:rFonts w:asciiTheme="minorHAnsi" w:hAnsiTheme="minorHAnsi" w:cstheme="minorHAnsi"/>
        </w:rPr>
        <w:t>,</w:t>
      </w:r>
      <w:r w:rsidRPr="002B683A">
        <w:rPr>
          <w:rFonts w:asciiTheme="minorHAnsi" w:hAnsiTheme="minorHAnsi" w:cstheme="minorHAnsi"/>
        </w:rPr>
        <w:t xml:space="preserve"> NeSA scores have been reported at Below, Meets, and Exceeds.  Meets and Exceeds </w:t>
      </w:r>
      <w:r w:rsidR="002B683A" w:rsidRPr="002B683A">
        <w:rPr>
          <w:rFonts w:asciiTheme="minorHAnsi" w:hAnsiTheme="minorHAnsi" w:cstheme="minorHAnsi"/>
        </w:rPr>
        <w:t xml:space="preserve">were </w:t>
      </w:r>
      <w:r w:rsidRPr="002B683A">
        <w:rPr>
          <w:rFonts w:asciiTheme="minorHAnsi" w:hAnsiTheme="minorHAnsi" w:cstheme="minorHAnsi"/>
        </w:rPr>
        <w:t>combined to provide a percentage of students who were proficient.</w:t>
      </w:r>
    </w:p>
    <w:p w14:paraId="1849ECB0" w14:textId="77777777" w:rsidR="00E7146B" w:rsidRDefault="00C63638" w:rsidP="00E7146B">
      <w:pPr>
        <w:pStyle w:val="ListParagraph"/>
        <w:numPr>
          <w:ilvl w:val="0"/>
          <w:numId w:val="5"/>
        </w:numPr>
        <w:contextualSpacing w:val="0"/>
        <w:rPr>
          <w:rFonts w:asciiTheme="minorHAnsi" w:hAnsiTheme="minorHAnsi" w:cstheme="minorHAnsi"/>
        </w:rPr>
      </w:pPr>
      <w:r w:rsidRPr="002B683A">
        <w:rPr>
          <w:rFonts w:asciiTheme="minorHAnsi" w:hAnsiTheme="minorHAnsi" w:cstheme="minorHAnsi"/>
        </w:rPr>
        <w:t>With the transition to ACT as the state summative test at the high school level, Nebraska educators and NDE engaged in a standard setting process to determine the three levels of performance used for state accountability.  The Nebraska State Board of Education set the following performance levels</w:t>
      </w:r>
      <w:r w:rsidR="002B683A" w:rsidRPr="002B683A">
        <w:rPr>
          <w:rFonts w:asciiTheme="minorHAnsi" w:hAnsiTheme="minorHAnsi" w:cstheme="minorHAnsi"/>
        </w:rPr>
        <w:t xml:space="preserve"> for state acco</w:t>
      </w:r>
      <w:r w:rsidR="00E7146B">
        <w:rPr>
          <w:rFonts w:asciiTheme="minorHAnsi" w:hAnsiTheme="minorHAnsi" w:cstheme="minorHAnsi"/>
        </w:rPr>
        <w:t>untability only.</w:t>
      </w:r>
    </w:p>
    <w:p w14:paraId="6709E344" w14:textId="77777777" w:rsidR="00E7146B" w:rsidRPr="00E7146B" w:rsidRDefault="00C63638" w:rsidP="00E7146B">
      <w:pPr>
        <w:pStyle w:val="ListParagraph"/>
        <w:numPr>
          <w:ilvl w:val="1"/>
          <w:numId w:val="5"/>
        </w:numPr>
        <w:contextualSpacing w:val="0"/>
        <w:rPr>
          <w:rFonts w:asciiTheme="minorHAnsi" w:hAnsiTheme="minorHAnsi" w:cstheme="minorHAnsi"/>
        </w:rPr>
      </w:pPr>
      <w:r w:rsidRPr="00E7146B">
        <w:rPr>
          <w:rFonts w:asciiTheme="minorHAnsi" w:hAnsiTheme="minorHAnsi" w:cstheme="minorHAnsi"/>
        </w:rPr>
        <w:t>ACT Cut Scores for ACT-English Language Arts, ACT- Mathematics, and ACT-Science</w:t>
      </w:r>
      <w:r w:rsidR="002B683A" w:rsidRPr="00E7146B">
        <w:rPr>
          <w:rFonts w:asciiTheme="minorHAnsi" w:hAnsiTheme="minorHAnsi" w:cstheme="minorHAnsi"/>
        </w:rPr>
        <w:t xml:space="preserve">. </w:t>
      </w:r>
    </w:p>
    <w:tbl>
      <w:tblPr>
        <w:tblpPr w:leftFromText="180" w:rightFromText="180" w:vertAnchor="text" w:horzAnchor="margin" w:tblpY="937"/>
        <w:tblW w:w="10120" w:type="dxa"/>
        <w:tblCellMar>
          <w:left w:w="0" w:type="dxa"/>
          <w:right w:w="0" w:type="dxa"/>
        </w:tblCellMar>
        <w:tblLook w:val="04A0" w:firstRow="1" w:lastRow="0" w:firstColumn="1" w:lastColumn="0" w:noHBand="0" w:noVBand="1"/>
      </w:tblPr>
      <w:tblGrid>
        <w:gridCol w:w="3093"/>
        <w:gridCol w:w="2360"/>
        <w:gridCol w:w="2279"/>
        <w:gridCol w:w="2388"/>
      </w:tblGrid>
      <w:tr w:rsidR="00E7146B" w:rsidRPr="002B683A" w14:paraId="4D67A04C" w14:textId="77777777" w:rsidTr="00E7146B">
        <w:trPr>
          <w:trHeight w:val="825"/>
        </w:trPr>
        <w:tc>
          <w:tcPr>
            <w:tcW w:w="3093" w:type="dxa"/>
            <w:tcBorders>
              <w:top w:val="single" w:sz="8" w:space="0" w:color="auto"/>
              <w:left w:val="single" w:sz="8" w:space="0" w:color="auto"/>
              <w:bottom w:val="single" w:sz="8" w:space="0" w:color="auto"/>
              <w:right w:val="single" w:sz="8" w:space="0" w:color="auto"/>
            </w:tcBorders>
            <w:shd w:val="clear" w:color="auto" w:fill="1F60A0"/>
            <w:noWrap/>
            <w:tcMar>
              <w:top w:w="0" w:type="dxa"/>
              <w:left w:w="108" w:type="dxa"/>
              <w:bottom w:w="0" w:type="dxa"/>
              <w:right w:w="108" w:type="dxa"/>
            </w:tcMar>
            <w:vAlign w:val="center"/>
            <w:hideMark/>
          </w:tcPr>
          <w:p w14:paraId="0160A4EA" w14:textId="77777777" w:rsidR="00E7146B" w:rsidRPr="002B683A" w:rsidRDefault="00E7146B" w:rsidP="00E7146B">
            <w:pPr>
              <w:jc w:val="center"/>
              <w:rPr>
                <w:rFonts w:cstheme="minorHAnsi"/>
                <w:b/>
                <w:bCs/>
                <w:color w:val="FFFFFF"/>
              </w:rPr>
            </w:pPr>
            <w:r w:rsidRPr="002B683A">
              <w:rPr>
                <w:rFonts w:cstheme="minorHAnsi"/>
                <w:b/>
                <w:bCs/>
                <w:color w:val="FFFFFF"/>
              </w:rPr>
              <w:t>Performance Level</w:t>
            </w:r>
          </w:p>
        </w:tc>
        <w:tc>
          <w:tcPr>
            <w:tcW w:w="2360" w:type="dxa"/>
            <w:tcBorders>
              <w:top w:val="single" w:sz="8" w:space="0" w:color="auto"/>
              <w:left w:val="nil"/>
              <w:bottom w:val="single" w:sz="8" w:space="0" w:color="auto"/>
              <w:right w:val="single" w:sz="8" w:space="0" w:color="auto"/>
            </w:tcBorders>
            <w:shd w:val="clear" w:color="auto" w:fill="1F60A0"/>
            <w:noWrap/>
            <w:tcMar>
              <w:top w:w="0" w:type="dxa"/>
              <w:left w:w="108" w:type="dxa"/>
              <w:bottom w:w="0" w:type="dxa"/>
              <w:right w:w="108" w:type="dxa"/>
            </w:tcMar>
            <w:vAlign w:val="center"/>
            <w:hideMark/>
          </w:tcPr>
          <w:p w14:paraId="73A34620" w14:textId="77777777" w:rsidR="00E7146B" w:rsidRPr="002B683A" w:rsidRDefault="00E7146B" w:rsidP="00E7146B">
            <w:pPr>
              <w:jc w:val="center"/>
              <w:rPr>
                <w:rFonts w:cstheme="minorHAnsi"/>
                <w:b/>
                <w:bCs/>
                <w:color w:val="FFFFFF"/>
              </w:rPr>
            </w:pPr>
            <w:r w:rsidRPr="002B683A">
              <w:rPr>
                <w:rFonts w:cstheme="minorHAnsi"/>
                <w:b/>
                <w:bCs/>
                <w:color w:val="FFFFFF"/>
              </w:rPr>
              <w:t>Math</w:t>
            </w:r>
          </w:p>
        </w:tc>
        <w:tc>
          <w:tcPr>
            <w:tcW w:w="2279" w:type="dxa"/>
            <w:tcBorders>
              <w:top w:val="single" w:sz="8" w:space="0" w:color="auto"/>
              <w:left w:val="nil"/>
              <w:bottom w:val="single" w:sz="8" w:space="0" w:color="auto"/>
              <w:right w:val="single" w:sz="8" w:space="0" w:color="auto"/>
            </w:tcBorders>
            <w:shd w:val="clear" w:color="auto" w:fill="1F60A0"/>
            <w:noWrap/>
            <w:tcMar>
              <w:top w:w="0" w:type="dxa"/>
              <w:left w:w="108" w:type="dxa"/>
              <w:bottom w:w="0" w:type="dxa"/>
              <w:right w:w="108" w:type="dxa"/>
            </w:tcMar>
            <w:vAlign w:val="center"/>
            <w:hideMark/>
          </w:tcPr>
          <w:p w14:paraId="59C61E67" w14:textId="77777777" w:rsidR="00E7146B" w:rsidRPr="002B683A" w:rsidRDefault="00E7146B" w:rsidP="00E7146B">
            <w:pPr>
              <w:jc w:val="center"/>
              <w:rPr>
                <w:rFonts w:cstheme="minorHAnsi"/>
                <w:b/>
                <w:bCs/>
                <w:color w:val="FFFFFF"/>
              </w:rPr>
            </w:pPr>
            <w:r w:rsidRPr="002B683A">
              <w:rPr>
                <w:rFonts w:cstheme="minorHAnsi"/>
                <w:b/>
                <w:bCs/>
                <w:color w:val="FFFFFF"/>
              </w:rPr>
              <w:t>ELA</w:t>
            </w:r>
          </w:p>
        </w:tc>
        <w:tc>
          <w:tcPr>
            <w:tcW w:w="2388" w:type="dxa"/>
            <w:tcBorders>
              <w:top w:val="single" w:sz="8" w:space="0" w:color="auto"/>
              <w:left w:val="nil"/>
              <w:bottom w:val="single" w:sz="8" w:space="0" w:color="auto"/>
              <w:right w:val="single" w:sz="8" w:space="0" w:color="auto"/>
            </w:tcBorders>
            <w:shd w:val="clear" w:color="auto" w:fill="1F60A0"/>
            <w:noWrap/>
            <w:tcMar>
              <w:top w:w="0" w:type="dxa"/>
              <w:left w:w="108" w:type="dxa"/>
              <w:bottom w:w="0" w:type="dxa"/>
              <w:right w:w="108" w:type="dxa"/>
            </w:tcMar>
            <w:vAlign w:val="center"/>
            <w:hideMark/>
          </w:tcPr>
          <w:p w14:paraId="208946A3" w14:textId="77777777" w:rsidR="00E7146B" w:rsidRPr="002B683A" w:rsidRDefault="00E7146B" w:rsidP="00E7146B">
            <w:pPr>
              <w:jc w:val="center"/>
              <w:rPr>
                <w:rFonts w:cstheme="minorHAnsi"/>
                <w:b/>
                <w:bCs/>
                <w:color w:val="FFFFFF"/>
              </w:rPr>
            </w:pPr>
            <w:r w:rsidRPr="002B683A">
              <w:rPr>
                <w:rFonts w:cstheme="minorHAnsi"/>
                <w:b/>
                <w:bCs/>
                <w:color w:val="FFFFFF"/>
              </w:rPr>
              <w:t>Science</w:t>
            </w:r>
          </w:p>
        </w:tc>
      </w:tr>
      <w:tr w:rsidR="00E7146B" w:rsidRPr="002B683A" w14:paraId="763275E1" w14:textId="77777777" w:rsidTr="00E7146B">
        <w:trPr>
          <w:trHeight w:val="825"/>
        </w:trPr>
        <w:tc>
          <w:tcPr>
            <w:tcW w:w="3093" w:type="dxa"/>
            <w:tcBorders>
              <w:top w:val="nil"/>
              <w:left w:val="single" w:sz="8" w:space="0" w:color="auto"/>
              <w:bottom w:val="single" w:sz="8" w:space="0" w:color="auto"/>
              <w:right w:val="single" w:sz="8" w:space="0" w:color="auto"/>
            </w:tcBorders>
            <w:shd w:val="clear" w:color="auto" w:fill="9FC4E3"/>
            <w:noWrap/>
            <w:tcMar>
              <w:top w:w="0" w:type="dxa"/>
              <w:left w:w="108" w:type="dxa"/>
              <w:bottom w:w="0" w:type="dxa"/>
              <w:right w:w="108" w:type="dxa"/>
            </w:tcMar>
            <w:vAlign w:val="center"/>
            <w:hideMark/>
          </w:tcPr>
          <w:p w14:paraId="1B7D6F95" w14:textId="77777777" w:rsidR="00E7146B" w:rsidRPr="002B683A" w:rsidRDefault="00E7146B" w:rsidP="00E7146B">
            <w:pPr>
              <w:jc w:val="center"/>
              <w:rPr>
                <w:rFonts w:cstheme="minorHAnsi"/>
                <w:b/>
                <w:bCs/>
                <w:color w:val="000000"/>
              </w:rPr>
            </w:pPr>
            <w:r w:rsidRPr="002B683A">
              <w:rPr>
                <w:rFonts w:cstheme="minorHAnsi"/>
                <w:b/>
                <w:bCs/>
                <w:color w:val="000000"/>
              </w:rPr>
              <w:t>ACT Benchmark</w:t>
            </w:r>
          </w:p>
        </w:tc>
        <w:tc>
          <w:tcPr>
            <w:tcW w:w="2360" w:type="dxa"/>
            <w:tcBorders>
              <w:top w:val="nil"/>
              <w:left w:val="nil"/>
              <w:bottom w:val="single" w:sz="8" w:space="0" w:color="auto"/>
              <w:right w:val="single" w:sz="8" w:space="0" w:color="auto"/>
            </w:tcBorders>
            <w:shd w:val="clear" w:color="auto" w:fill="9FC4E3"/>
            <w:noWrap/>
            <w:tcMar>
              <w:top w:w="0" w:type="dxa"/>
              <w:left w:w="108" w:type="dxa"/>
              <w:bottom w:w="0" w:type="dxa"/>
              <w:right w:w="108" w:type="dxa"/>
            </w:tcMar>
            <w:vAlign w:val="center"/>
            <w:hideMark/>
          </w:tcPr>
          <w:p w14:paraId="362E7727" w14:textId="77777777" w:rsidR="00E7146B" w:rsidRPr="002B683A" w:rsidRDefault="00E7146B" w:rsidP="00E7146B">
            <w:pPr>
              <w:jc w:val="center"/>
              <w:rPr>
                <w:rFonts w:cstheme="minorHAnsi"/>
                <w:b/>
                <w:bCs/>
                <w:color w:val="000000"/>
              </w:rPr>
            </w:pPr>
            <w:r w:rsidRPr="002B683A">
              <w:rPr>
                <w:rFonts w:cstheme="minorHAnsi"/>
                <w:b/>
                <w:bCs/>
                <w:color w:val="000000"/>
              </w:rPr>
              <w:t>22-36</w:t>
            </w:r>
          </w:p>
        </w:tc>
        <w:tc>
          <w:tcPr>
            <w:tcW w:w="2279" w:type="dxa"/>
            <w:tcBorders>
              <w:top w:val="nil"/>
              <w:left w:val="nil"/>
              <w:bottom w:val="single" w:sz="8" w:space="0" w:color="auto"/>
              <w:right w:val="single" w:sz="8" w:space="0" w:color="auto"/>
            </w:tcBorders>
            <w:shd w:val="clear" w:color="auto" w:fill="9FC4E3"/>
            <w:noWrap/>
            <w:tcMar>
              <w:top w:w="0" w:type="dxa"/>
              <w:left w:w="108" w:type="dxa"/>
              <w:bottom w:w="0" w:type="dxa"/>
              <w:right w:w="108" w:type="dxa"/>
            </w:tcMar>
            <w:vAlign w:val="center"/>
            <w:hideMark/>
          </w:tcPr>
          <w:p w14:paraId="2F9DECB5" w14:textId="77777777" w:rsidR="00E7146B" w:rsidRPr="002B683A" w:rsidRDefault="00E7146B" w:rsidP="00E7146B">
            <w:pPr>
              <w:jc w:val="center"/>
              <w:rPr>
                <w:rFonts w:cstheme="minorHAnsi"/>
                <w:b/>
                <w:bCs/>
                <w:color w:val="000000"/>
              </w:rPr>
            </w:pPr>
            <w:r w:rsidRPr="002B683A">
              <w:rPr>
                <w:rFonts w:cstheme="minorHAnsi"/>
                <w:b/>
                <w:bCs/>
                <w:color w:val="000000"/>
              </w:rPr>
              <w:t>20-36</w:t>
            </w:r>
          </w:p>
        </w:tc>
        <w:tc>
          <w:tcPr>
            <w:tcW w:w="2388" w:type="dxa"/>
            <w:tcBorders>
              <w:top w:val="nil"/>
              <w:left w:val="nil"/>
              <w:bottom w:val="single" w:sz="8" w:space="0" w:color="auto"/>
              <w:right w:val="single" w:sz="8" w:space="0" w:color="auto"/>
            </w:tcBorders>
            <w:shd w:val="clear" w:color="auto" w:fill="9FC4E3"/>
            <w:noWrap/>
            <w:tcMar>
              <w:top w:w="0" w:type="dxa"/>
              <w:left w:w="108" w:type="dxa"/>
              <w:bottom w:w="0" w:type="dxa"/>
              <w:right w:w="108" w:type="dxa"/>
            </w:tcMar>
            <w:vAlign w:val="center"/>
            <w:hideMark/>
          </w:tcPr>
          <w:p w14:paraId="588EB7EA" w14:textId="77777777" w:rsidR="00E7146B" w:rsidRPr="002B683A" w:rsidRDefault="00E7146B" w:rsidP="00E7146B">
            <w:pPr>
              <w:jc w:val="center"/>
              <w:rPr>
                <w:rFonts w:cstheme="minorHAnsi"/>
                <w:b/>
                <w:bCs/>
                <w:color w:val="000000"/>
              </w:rPr>
            </w:pPr>
            <w:r w:rsidRPr="002B683A">
              <w:rPr>
                <w:rFonts w:cstheme="minorHAnsi"/>
                <w:b/>
                <w:bCs/>
                <w:color w:val="000000"/>
              </w:rPr>
              <w:t>23-36</w:t>
            </w:r>
          </w:p>
        </w:tc>
      </w:tr>
      <w:tr w:rsidR="00E7146B" w:rsidRPr="002B683A" w14:paraId="24C988E1" w14:textId="77777777" w:rsidTr="00E7146B">
        <w:trPr>
          <w:trHeight w:val="825"/>
        </w:trPr>
        <w:tc>
          <w:tcPr>
            <w:tcW w:w="3093" w:type="dxa"/>
            <w:tcBorders>
              <w:top w:val="nil"/>
              <w:left w:val="single" w:sz="8" w:space="0" w:color="auto"/>
              <w:bottom w:val="single" w:sz="8" w:space="0" w:color="auto"/>
              <w:right w:val="single" w:sz="8" w:space="0" w:color="auto"/>
            </w:tcBorders>
            <w:shd w:val="clear" w:color="auto" w:fill="BFD7EC"/>
            <w:noWrap/>
            <w:tcMar>
              <w:top w:w="0" w:type="dxa"/>
              <w:left w:w="108" w:type="dxa"/>
              <w:bottom w:w="0" w:type="dxa"/>
              <w:right w:w="108" w:type="dxa"/>
            </w:tcMar>
            <w:vAlign w:val="center"/>
            <w:hideMark/>
          </w:tcPr>
          <w:p w14:paraId="08E12BD5" w14:textId="77777777" w:rsidR="00E7146B" w:rsidRPr="002B683A" w:rsidRDefault="00E7146B" w:rsidP="00E7146B">
            <w:pPr>
              <w:jc w:val="center"/>
              <w:rPr>
                <w:rFonts w:cstheme="minorHAnsi"/>
                <w:b/>
                <w:bCs/>
                <w:color w:val="000000"/>
              </w:rPr>
            </w:pPr>
            <w:r w:rsidRPr="002B683A">
              <w:rPr>
                <w:rFonts w:cstheme="minorHAnsi"/>
                <w:b/>
                <w:bCs/>
                <w:color w:val="000000"/>
              </w:rPr>
              <w:t>On Track</w:t>
            </w:r>
          </w:p>
        </w:tc>
        <w:tc>
          <w:tcPr>
            <w:tcW w:w="2360" w:type="dxa"/>
            <w:tcBorders>
              <w:top w:val="nil"/>
              <w:left w:val="nil"/>
              <w:bottom w:val="single" w:sz="8" w:space="0" w:color="auto"/>
              <w:right w:val="single" w:sz="8" w:space="0" w:color="auto"/>
            </w:tcBorders>
            <w:shd w:val="clear" w:color="auto" w:fill="BFD7EC"/>
            <w:noWrap/>
            <w:tcMar>
              <w:top w:w="0" w:type="dxa"/>
              <w:left w:w="108" w:type="dxa"/>
              <w:bottom w:w="0" w:type="dxa"/>
              <w:right w:w="108" w:type="dxa"/>
            </w:tcMar>
            <w:vAlign w:val="center"/>
            <w:hideMark/>
          </w:tcPr>
          <w:p w14:paraId="415B3DDB" w14:textId="77777777" w:rsidR="00E7146B" w:rsidRPr="002B683A" w:rsidRDefault="00E7146B" w:rsidP="00E7146B">
            <w:pPr>
              <w:jc w:val="center"/>
              <w:rPr>
                <w:rFonts w:cstheme="minorHAnsi"/>
                <w:b/>
                <w:bCs/>
                <w:color w:val="000000"/>
              </w:rPr>
            </w:pPr>
            <w:r w:rsidRPr="002B683A">
              <w:rPr>
                <w:rFonts w:cstheme="minorHAnsi"/>
                <w:b/>
                <w:bCs/>
                <w:color w:val="000000"/>
              </w:rPr>
              <w:t>18-21</w:t>
            </w:r>
          </w:p>
        </w:tc>
        <w:tc>
          <w:tcPr>
            <w:tcW w:w="2279" w:type="dxa"/>
            <w:tcBorders>
              <w:top w:val="nil"/>
              <w:left w:val="nil"/>
              <w:bottom w:val="single" w:sz="8" w:space="0" w:color="auto"/>
              <w:right w:val="single" w:sz="8" w:space="0" w:color="auto"/>
            </w:tcBorders>
            <w:shd w:val="clear" w:color="auto" w:fill="BFD7EC"/>
            <w:noWrap/>
            <w:tcMar>
              <w:top w:w="0" w:type="dxa"/>
              <w:left w:w="108" w:type="dxa"/>
              <w:bottom w:w="0" w:type="dxa"/>
              <w:right w:w="108" w:type="dxa"/>
            </w:tcMar>
            <w:vAlign w:val="center"/>
            <w:hideMark/>
          </w:tcPr>
          <w:p w14:paraId="6460CC3B" w14:textId="77777777" w:rsidR="00E7146B" w:rsidRPr="002B683A" w:rsidRDefault="00E7146B" w:rsidP="00E7146B">
            <w:pPr>
              <w:jc w:val="center"/>
              <w:rPr>
                <w:rFonts w:cstheme="minorHAnsi"/>
                <w:b/>
                <w:bCs/>
                <w:color w:val="000000"/>
              </w:rPr>
            </w:pPr>
            <w:r w:rsidRPr="002B683A">
              <w:rPr>
                <w:rFonts w:cstheme="minorHAnsi"/>
                <w:b/>
                <w:bCs/>
                <w:color w:val="000000"/>
              </w:rPr>
              <w:t>18-19</w:t>
            </w:r>
          </w:p>
        </w:tc>
        <w:tc>
          <w:tcPr>
            <w:tcW w:w="2388" w:type="dxa"/>
            <w:tcBorders>
              <w:top w:val="nil"/>
              <w:left w:val="nil"/>
              <w:bottom w:val="single" w:sz="8" w:space="0" w:color="auto"/>
              <w:right w:val="single" w:sz="8" w:space="0" w:color="auto"/>
            </w:tcBorders>
            <w:shd w:val="clear" w:color="auto" w:fill="BFD7EC"/>
            <w:noWrap/>
            <w:tcMar>
              <w:top w:w="0" w:type="dxa"/>
              <w:left w:w="108" w:type="dxa"/>
              <w:bottom w:w="0" w:type="dxa"/>
              <w:right w:w="108" w:type="dxa"/>
            </w:tcMar>
            <w:vAlign w:val="center"/>
            <w:hideMark/>
          </w:tcPr>
          <w:p w14:paraId="7087CCD2" w14:textId="77777777" w:rsidR="00E7146B" w:rsidRPr="002B683A" w:rsidRDefault="00E7146B" w:rsidP="00E7146B">
            <w:pPr>
              <w:jc w:val="center"/>
              <w:rPr>
                <w:rFonts w:cstheme="minorHAnsi"/>
                <w:b/>
                <w:bCs/>
                <w:color w:val="000000"/>
              </w:rPr>
            </w:pPr>
            <w:r w:rsidRPr="002B683A">
              <w:rPr>
                <w:rFonts w:cstheme="minorHAnsi"/>
                <w:b/>
                <w:bCs/>
                <w:color w:val="000000"/>
              </w:rPr>
              <w:t>19-22</w:t>
            </w:r>
          </w:p>
        </w:tc>
      </w:tr>
      <w:tr w:rsidR="00E7146B" w:rsidRPr="002B683A" w14:paraId="0AC07329" w14:textId="77777777" w:rsidTr="00E7146B">
        <w:trPr>
          <w:trHeight w:val="825"/>
        </w:trPr>
        <w:tc>
          <w:tcPr>
            <w:tcW w:w="3093" w:type="dxa"/>
            <w:tcBorders>
              <w:top w:val="nil"/>
              <w:left w:val="single" w:sz="8" w:space="0" w:color="auto"/>
              <w:bottom w:val="single" w:sz="8" w:space="0" w:color="auto"/>
              <w:right w:val="single" w:sz="8" w:space="0" w:color="auto"/>
            </w:tcBorders>
            <w:shd w:val="clear" w:color="auto" w:fill="DEEBF5"/>
            <w:noWrap/>
            <w:tcMar>
              <w:top w:w="0" w:type="dxa"/>
              <w:left w:w="108" w:type="dxa"/>
              <w:bottom w:w="0" w:type="dxa"/>
              <w:right w:w="108" w:type="dxa"/>
            </w:tcMar>
            <w:vAlign w:val="center"/>
            <w:hideMark/>
          </w:tcPr>
          <w:p w14:paraId="6294EB7D" w14:textId="77777777" w:rsidR="00E7146B" w:rsidRPr="002B683A" w:rsidRDefault="00E7146B" w:rsidP="00E7146B">
            <w:pPr>
              <w:jc w:val="center"/>
              <w:rPr>
                <w:rFonts w:cstheme="minorHAnsi"/>
                <w:b/>
                <w:bCs/>
                <w:color w:val="000000"/>
              </w:rPr>
            </w:pPr>
            <w:r w:rsidRPr="002B683A">
              <w:rPr>
                <w:rFonts w:cstheme="minorHAnsi"/>
                <w:b/>
                <w:bCs/>
                <w:color w:val="000000"/>
              </w:rPr>
              <w:t>Developing</w:t>
            </w:r>
          </w:p>
        </w:tc>
        <w:tc>
          <w:tcPr>
            <w:tcW w:w="2360" w:type="dxa"/>
            <w:tcBorders>
              <w:top w:val="nil"/>
              <w:left w:val="nil"/>
              <w:bottom w:val="single" w:sz="8" w:space="0" w:color="auto"/>
              <w:right w:val="single" w:sz="8" w:space="0" w:color="auto"/>
            </w:tcBorders>
            <w:shd w:val="clear" w:color="auto" w:fill="DEEBF5"/>
            <w:noWrap/>
            <w:tcMar>
              <w:top w:w="0" w:type="dxa"/>
              <w:left w:w="108" w:type="dxa"/>
              <w:bottom w:w="0" w:type="dxa"/>
              <w:right w:w="108" w:type="dxa"/>
            </w:tcMar>
            <w:vAlign w:val="center"/>
            <w:hideMark/>
          </w:tcPr>
          <w:p w14:paraId="061B0CC1" w14:textId="77777777" w:rsidR="00E7146B" w:rsidRPr="002B683A" w:rsidRDefault="00E7146B" w:rsidP="00E7146B">
            <w:pPr>
              <w:jc w:val="center"/>
              <w:rPr>
                <w:rFonts w:cstheme="minorHAnsi"/>
                <w:b/>
                <w:bCs/>
                <w:color w:val="000000"/>
              </w:rPr>
            </w:pPr>
            <w:r w:rsidRPr="002B683A">
              <w:rPr>
                <w:rFonts w:cstheme="minorHAnsi"/>
                <w:b/>
                <w:bCs/>
                <w:color w:val="000000"/>
              </w:rPr>
              <w:t>1-17</w:t>
            </w:r>
          </w:p>
        </w:tc>
        <w:tc>
          <w:tcPr>
            <w:tcW w:w="2279" w:type="dxa"/>
            <w:tcBorders>
              <w:top w:val="nil"/>
              <w:left w:val="nil"/>
              <w:bottom w:val="single" w:sz="8" w:space="0" w:color="auto"/>
              <w:right w:val="single" w:sz="8" w:space="0" w:color="auto"/>
            </w:tcBorders>
            <w:shd w:val="clear" w:color="auto" w:fill="DEEBF5"/>
            <w:noWrap/>
            <w:tcMar>
              <w:top w:w="0" w:type="dxa"/>
              <w:left w:w="108" w:type="dxa"/>
              <w:bottom w:w="0" w:type="dxa"/>
              <w:right w:w="108" w:type="dxa"/>
            </w:tcMar>
            <w:vAlign w:val="center"/>
            <w:hideMark/>
          </w:tcPr>
          <w:p w14:paraId="56C502A2" w14:textId="77777777" w:rsidR="00E7146B" w:rsidRPr="002B683A" w:rsidRDefault="00E7146B" w:rsidP="00E7146B">
            <w:pPr>
              <w:jc w:val="center"/>
              <w:rPr>
                <w:rFonts w:cstheme="minorHAnsi"/>
                <w:b/>
                <w:bCs/>
                <w:color w:val="000000"/>
              </w:rPr>
            </w:pPr>
            <w:r w:rsidRPr="002B683A">
              <w:rPr>
                <w:rFonts w:cstheme="minorHAnsi"/>
                <w:b/>
                <w:bCs/>
                <w:color w:val="000000"/>
              </w:rPr>
              <w:t>1-17</w:t>
            </w:r>
          </w:p>
        </w:tc>
        <w:tc>
          <w:tcPr>
            <w:tcW w:w="2388" w:type="dxa"/>
            <w:tcBorders>
              <w:top w:val="nil"/>
              <w:left w:val="nil"/>
              <w:bottom w:val="single" w:sz="8" w:space="0" w:color="auto"/>
              <w:right w:val="single" w:sz="8" w:space="0" w:color="auto"/>
            </w:tcBorders>
            <w:shd w:val="clear" w:color="auto" w:fill="DEEBF5"/>
            <w:noWrap/>
            <w:tcMar>
              <w:top w:w="0" w:type="dxa"/>
              <w:left w:w="108" w:type="dxa"/>
              <w:bottom w:w="0" w:type="dxa"/>
              <w:right w:w="108" w:type="dxa"/>
            </w:tcMar>
            <w:vAlign w:val="center"/>
            <w:hideMark/>
          </w:tcPr>
          <w:p w14:paraId="5F02D55E" w14:textId="77777777" w:rsidR="00E7146B" w:rsidRPr="002B683A" w:rsidRDefault="00E7146B" w:rsidP="00E7146B">
            <w:pPr>
              <w:jc w:val="center"/>
              <w:rPr>
                <w:rFonts w:cstheme="minorHAnsi"/>
                <w:b/>
                <w:bCs/>
                <w:color w:val="000000"/>
              </w:rPr>
            </w:pPr>
            <w:r w:rsidRPr="002B683A">
              <w:rPr>
                <w:rFonts w:cstheme="minorHAnsi"/>
                <w:b/>
                <w:bCs/>
                <w:color w:val="000000"/>
              </w:rPr>
              <w:t>1-18</w:t>
            </w:r>
          </w:p>
        </w:tc>
      </w:tr>
    </w:tbl>
    <w:p w14:paraId="140E909D" w14:textId="77777777" w:rsidR="00C63638" w:rsidRPr="002B683A" w:rsidRDefault="00C63638" w:rsidP="00E7146B">
      <w:pPr>
        <w:pStyle w:val="ListParagraph"/>
        <w:numPr>
          <w:ilvl w:val="1"/>
          <w:numId w:val="1"/>
        </w:numPr>
        <w:contextualSpacing w:val="0"/>
        <w:rPr>
          <w:rFonts w:asciiTheme="minorHAnsi" w:hAnsiTheme="minorHAnsi" w:cstheme="minorHAnsi"/>
        </w:rPr>
      </w:pPr>
      <w:r w:rsidRPr="002B683A">
        <w:rPr>
          <w:rFonts w:asciiTheme="minorHAnsi" w:hAnsiTheme="minorHAnsi" w:cstheme="minorHAnsi"/>
        </w:rPr>
        <w:t>The English Language Arts score includes ACT-Reading, ACT- English, and ACT-Writing</w:t>
      </w:r>
      <w:r w:rsidR="00E7146B">
        <w:rPr>
          <w:rFonts w:asciiTheme="minorHAnsi" w:hAnsiTheme="minorHAnsi" w:cstheme="minorHAnsi"/>
        </w:rPr>
        <w:t>.</w:t>
      </w:r>
    </w:p>
    <w:p w14:paraId="39D78EC9" w14:textId="4C26E5A0" w:rsidR="0073177D" w:rsidRDefault="0073177D" w:rsidP="002B683A">
      <w:pPr>
        <w:rPr>
          <w:rFonts w:cstheme="minorHAnsi"/>
          <w:b/>
        </w:rPr>
      </w:pPr>
    </w:p>
    <w:p w14:paraId="47AA5501" w14:textId="3CAC5221" w:rsidR="00D705D1" w:rsidRPr="002B683A" w:rsidRDefault="00D705D1" w:rsidP="002B683A">
      <w:pPr>
        <w:rPr>
          <w:rFonts w:cstheme="minorHAnsi"/>
          <w:b/>
        </w:rPr>
      </w:pPr>
      <w:r w:rsidRPr="002B683A">
        <w:rPr>
          <w:rFonts w:cstheme="minorHAnsi"/>
          <w:b/>
        </w:rPr>
        <w:t>Nebraska ACT Performance Definitions</w:t>
      </w:r>
    </w:p>
    <w:p w14:paraId="6C8BD882" w14:textId="77777777" w:rsidR="00D705D1" w:rsidRPr="002B683A" w:rsidRDefault="00D705D1" w:rsidP="002B683A">
      <w:pPr>
        <w:pStyle w:val="ListParagraph"/>
        <w:rPr>
          <w:rFonts w:asciiTheme="minorHAnsi" w:hAnsiTheme="minorHAnsi" w:cstheme="minorHAnsi"/>
        </w:rPr>
      </w:pPr>
      <w:r w:rsidRPr="002B683A">
        <w:rPr>
          <w:rFonts w:asciiTheme="minorHAnsi" w:hAnsiTheme="minorHAnsi" w:cstheme="minorHAnsi"/>
          <w:b/>
          <w:bCs/>
        </w:rPr>
        <w:t>ACT Benchmark</w:t>
      </w:r>
    </w:p>
    <w:p w14:paraId="4BFDE890" w14:textId="1D8D83D9" w:rsidR="00D705D1" w:rsidRDefault="00D705D1" w:rsidP="00D705D1">
      <w:pPr>
        <w:pStyle w:val="ListParagraph"/>
        <w:rPr>
          <w:rFonts w:asciiTheme="minorHAnsi" w:hAnsiTheme="minorHAnsi" w:cstheme="minorHAnsi"/>
        </w:rPr>
      </w:pPr>
      <w:r w:rsidRPr="002B683A">
        <w:rPr>
          <w:rFonts w:asciiTheme="minorHAnsi" w:hAnsiTheme="minorHAnsi" w:cstheme="minorHAnsi"/>
        </w:rPr>
        <w:lastRenderedPageBreak/>
        <w:t>Students that meet or exceed the ACT College Readiness Benchmark are equipped to enroll (without remediation) and succeed in a credit-bearing first-year course at a two-year or four-year institution, trade school, or technical school. Students have at least a 50% chance of getting a B or better and a 75% chance of getting C or better in a first-year related content course.</w:t>
      </w:r>
    </w:p>
    <w:p w14:paraId="5907D29A" w14:textId="77777777" w:rsidR="0073177D" w:rsidRPr="002B683A" w:rsidRDefault="0073177D" w:rsidP="00D705D1">
      <w:pPr>
        <w:pStyle w:val="ListParagraph"/>
        <w:rPr>
          <w:rFonts w:asciiTheme="minorHAnsi" w:hAnsiTheme="minorHAnsi" w:cstheme="minorHAnsi"/>
        </w:rPr>
      </w:pPr>
    </w:p>
    <w:p w14:paraId="66CFC788" w14:textId="77777777" w:rsidR="00D705D1" w:rsidRPr="002B683A" w:rsidRDefault="00D705D1" w:rsidP="00D705D1">
      <w:pPr>
        <w:pStyle w:val="ListParagraph"/>
        <w:rPr>
          <w:rFonts w:asciiTheme="minorHAnsi" w:hAnsiTheme="minorHAnsi" w:cstheme="minorHAnsi"/>
        </w:rPr>
      </w:pPr>
      <w:r w:rsidRPr="002B683A">
        <w:rPr>
          <w:rFonts w:asciiTheme="minorHAnsi" w:hAnsiTheme="minorHAnsi" w:cstheme="minorHAnsi"/>
          <w:b/>
          <w:bCs/>
        </w:rPr>
        <w:t>On Track</w:t>
      </w:r>
    </w:p>
    <w:p w14:paraId="4C26A9D6" w14:textId="1C2755AF" w:rsidR="00D705D1" w:rsidRDefault="00D705D1" w:rsidP="00D705D1">
      <w:pPr>
        <w:pStyle w:val="ListParagraph"/>
        <w:rPr>
          <w:rFonts w:asciiTheme="minorHAnsi" w:hAnsiTheme="minorHAnsi" w:cstheme="minorHAnsi"/>
        </w:rPr>
      </w:pPr>
      <w:r w:rsidRPr="002B683A">
        <w:rPr>
          <w:rFonts w:asciiTheme="minorHAnsi" w:hAnsiTheme="minorHAnsi" w:cstheme="minorHAnsi"/>
        </w:rPr>
        <w:t xml:space="preserve">On Track students are approaching the ACT College Readiness Benchmark and are likely to be able to access credit-bearing first-year related content course at some Nebraska postsecondary institutions without remediation. </w:t>
      </w:r>
    </w:p>
    <w:p w14:paraId="2C0ED818" w14:textId="77777777" w:rsidR="0073177D" w:rsidRPr="002B683A" w:rsidRDefault="0073177D" w:rsidP="00D705D1">
      <w:pPr>
        <w:pStyle w:val="ListParagraph"/>
        <w:rPr>
          <w:rFonts w:asciiTheme="minorHAnsi" w:hAnsiTheme="minorHAnsi" w:cstheme="minorHAnsi"/>
        </w:rPr>
      </w:pPr>
    </w:p>
    <w:p w14:paraId="024E5322" w14:textId="77777777" w:rsidR="00D705D1" w:rsidRPr="002B683A" w:rsidRDefault="00D705D1" w:rsidP="00D705D1">
      <w:pPr>
        <w:pStyle w:val="ListParagraph"/>
        <w:rPr>
          <w:rFonts w:asciiTheme="minorHAnsi" w:hAnsiTheme="minorHAnsi" w:cstheme="minorHAnsi"/>
        </w:rPr>
      </w:pPr>
      <w:r w:rsidRPr="002B683A">
        <w:rPr>
          <w:rFonts w:asciiTheme="minorHAnsi" w:hAnsiTheme="minorHAnsi" w:cstheme="minorHAnsi"/>
          <w:b/>
          <w:bCs/>
        </w:rPr>
        <w:t>Developing</w:t>
      </w:r>
    </w:p>
    <w:p w14:paraId="11D7F168" w14:textId="77777777" w:rsidR="00D705D1" w:rsidRPr="002B683A" w:rsidRDefault="00D705D1" w:rsidP="00D705D1">
      <w:pPr>
        <w:pStyle w:val="ListParagraph"/>
        <w:rPr>
          <w:rFonts w:asciiTheme="minorHAnsi" w:hAnsiTheme="minorHAnsi" w:cstheme="minorHAnsi"/>
        </w:rPr>
      </w:pPr>
      <w:r w:rsidRPr="002B683A">
        <w:rPr>
          <w:rFonts w:asciiTheme="minorHAnsi" w:hAnsiTheme="minorHAnsi" w:cstheme="minorHAnsi"/>
        </w:rPr>
        <w:t>Students in the Developing Level are likely to need developmental courses before being able to access credit-bearing first-year courses in the majority Nebraska postsecondary institutions.</w:t>
      </w:r>
    </w:p>
    <w:p w14:paraId="3E9F1E30" w14:textId="77777777" w:rsidR="00E7146B" w:rsidRPr="00E7146B" w:rsidRDefault="00E7146B" w:rsidP="00E7146B">
      <w:pPr>
        <w:autoSpaceDE w:val="0"/>
        <w:autoSpaceDN w:val="0"/>
        <w:adjustRightInd w:val="0"/>
        <w:spacing w:after="0" w:line="240" w:lineRule="auto"/>
        <w:rPr>
          <w:rFonts w:cstheme="minorHAnsi"/>
        </w:rPr>
      </w:pPr>
    </w:p>
    <w:p w14:paraId="7955DA32" w14:textId="6604C934" w:rsidR="00D705D1" w:rsidRPr="00E7146B" w:rsidRDefault="0073177D" w:rsidP="00E7146B">
      <w:pPr>
        <w:rPr>
          <w:rFonts w:cstheme="minorHAnsi"/>
          <w:b/>
        </w:rPr>
      </w:pPr>
      <w:r>
        <w:rPr>
          <w:rFonts w:cstheme="minorHAnsi"/>
          <w:b/>
        </w:rPr>
        <w:t>Additional Information to Performance Level Definitions</w:t>
      </w:r>
    </w:p>
    <w:p w14:paraId="6DA0AA4B" w14:textId="77777777" w:rsidR="00D705D1" w:rsidRPr="00E7146B" w:rsidRDefault="00D705D1" w:rsidP="0073177D">
      <w:pPr>
        <w:spacing w:after="0" w:line="240" w:lineRule="auto"/>
        <w:ind w:left="720"/>
        <w:rPr>
          <w:rFonts w:cstheme="minorHAnsi"/>
        </w:rPr>
      </w:pPr>
      <w:r w:rsidRPr="00E7146B">
        <w:rPr>
          <w:rFonts w:cstheme="minorHAnsi"/>
        </w:rPr>
        <w:t>In order to increase the chances of success after high sch</w:t>
      </w:r>
      <w:r w:rsidR="00E7146B">
        <w:rPr>
          <w:rFonts w:cstheme="minorHAnsi"/>
        </w:rPr>
        <w:t xml:space="preserve">ool, students are encouraged to do the following. </w:t>
      </w:r>
    </w:p>
    <w:p w14:paraId="47B20272" w14:textId="77777777" w:rsidR="00966E82" w:rsidRPr="002B683A" w:rsidRDefault="00E7146B" w:rsidP="0073177D">
      <w:pPr>
        <w:numPr>
          <w:ilvl w:val="0"/>
          <w:numId w:val="6"/>
        </w:numPr>
        <w:spacing w:after="0" w:line="240" w:lineRule="auto"/>
        <w:ind w:left="1440"/>
        <w:rPr>
          <w:rFonts w:cstheme="minorHAnsi"/>
        </w:rPr>
      </w:pPr>
      <w:r>
        <w:rPr>
          <w:rFonts w:cstheme="minorHAnsi"/>
        </w:rPr>
        <w:t>E</w:t>
      </w:r>
      <w:r w:rsidR="00DF4B6B" w:rsidRPr="002B683A">
        <w:rPr>
          <w:rFonts w:cstheme="minorHAnsi"/>
        </w:rPr>
        <w:t>ngage in rigorous course work during their senior year</w:t>
      </w:r>
      <w:r>
        <w:rPr>
          <w:rFonts w:cstheme="minorHAnsi"/>
        </w:rPr>
        <w:t>.</w:t>
      </w:r>
    </w:p>
    <w:p w14:paraId="1314AB5B" w14:textId="77777777" w:rsidR="00966E82" w:rsidRPr="002B683A" w:rsidRDefault="00E7146B" w:rsidP="0073177D">
      <w:pPr>
        <w:numPr>
          <w:ilvl w:val="0"/>
          <w:numId w:val="6"/>
        </w:numPr>
        <w:spacing w:after="0" w:line="240" w:lineRule="auto"/>
        <w:ind w:left="1440"/>
        <w:rPr>
          <w:rFonts w:cstheme="minorHAnsi"/>
        </w:rPr>
      </w:pPr>
      <w:r>
        <w:rPr>
          <w:rFonts w:cstheme="minorHAnsi"/>
        </w:rPr>
        <w:t>T</w:t>
      </w:r>
      <w:r w:rsidR="00DF4B6B" w:rsidRPr="002B683A">
        <w:rPr>
          <w:rFonts w:cstheme="minorHAnsi"/>
        </w:rPr>
        <w:t>ake part in a wide range of career exploration activities</w:t>
      </w:r>
      <w:r>
        <w:rPr>
          <w:rFonts w:cstheme="minorHAnsi"/>
        </w:rPr>
        <w:t>.</w:t>
      </w:r>
    </w:p>
    <w:p w14:paraId="1AFE70AB" w14:textId="77777777" w:rsidR="00966E82" w:rsidRPr="002B683A" w:rsidRDefault="00E7146B" w:rsidP="0073177D">
      <w:pPr>
        <w:numPr>
          <w:ilvl w:val="0"/>
          <w:numId w:val="6"/>
        </w:numPr>
        <w:spacing w:after="0" w:line="240" w:lineRule="auto"/>
        <w:ind w:left="1440"/>
        <w:rPr>
          <w:rFonts w:cstheme="minorHAnsi"/>
        </w:rPr>
      </w:pPr>
      <w:r>
        <w:rPr>
          <w:rFonts w:cstheme="minorHAnsi"/>
        </w:rPr>
        <w:t>B</w:t>
      </w:r>
      <w:r w:rsidR="00DF4B6B" w:rsidRPr="002B683A">
        <w:rPr>
          <w:rFonts w:cstheme="minorHAnsi"/>
        </w:rPr>
        <w:t>uild on existing strengths and address challenge areas</w:t>
      </w:r>
      <w:r>
        <w:rPr>
          <w:rFonts w:cstheme="minorHAnsi"/>
        </w:rPr>
        <w:t>.</w:t>
      </w:r>
    </w:p>
    <w:p w14:paraId="2E3502D9" w14:textId="77777777" w:rsidR="00966E82" w:rsidRPr="002B683A" w:rsidRDefault="00E7146B" w:rsidP="0073177D">
      <w:pPr>
        <w:numPr>
          <w:ilvl w:val="0"/>
          <w:numId w:val="6"/>
        </w:numPr>
        <w:spacing w:after="0" w:line="240" w:lineRule="auto"/>
        <w:ind w:left="1440"/>
        <w:rPr>
          <w:rFonts w:cstheme="minorHAnsi"/>
        </w:rPr>
      </w:pPr>
      <w:r>
        <w:rPr>
          <w:rFonts w:cstheme="minorHAnsi"/>
        </w:rPr>
        <w:t>W</w:t>
      </w:r>
      <w:r w:rsidR="00DF4B6B" w:rsidRPr="002B683A">
        <w:rPr>
          <w:rFonts w:cstheme="minorHAnsi"/>
        </w:rPr>
        <w:t>ork with adults to plan for college, career, and civic life</w:t>
      </w:r>
      <w:r>
        <w:rPr>
          <w:rFonts w:cstheme="minorHAnsi"/>
        </w:rPr>
        <w:t>.</w:t>
      </w:r>
    </w:p>
    <w:p w14:paraId="42BB178C" w14:textId="77777777" w:rsidR="00966E82" w:rsidRPr="002B683A" w:rsidRDefault="00E7146B" w:rsidP="0073177D">
      <w:pPr>
        <w:numPr>
          <w:ilvl w:val="0"/>
          <w:numId w:val="6"/>
        </w:numPr>
        <w:spacing w:after="0" w:line="240" w:lineRule="auto"/>
        <w:ind w:left="1440"/>
        <w:rPr>
          <w:rFonts w:cstheme="minorHAnsi"/>
        </w:rPr>
      </w:pPr>
      <w:r>
        <w:rPr>
          <w:rFonts w:cstheme="minorHAnsi"/>
        </w:rPr>
        <w:t>G</w:t>
      </w:r>
      <w:r w:rsidR="00DF4B6B" w:rsidRPr="002B683A">
        <w:rPr>
          <w:rFonts w:cstheme="minorHAnsi"/>
        </w:rPr>
        <w:t>ain work or volunteer experiences</w:t>
      </w:r>
      <w:r>
        <w:rPr>
          <w:rFonts w:cstheme="minorHAnsi"/>
        </w:rPr>
        <w:t>.</w:t>
      </w:r>
    </w:p>
    <w:p w14:paraId="1E833219" w14:textId="3EA622C8" w:rsidR="00966E82" w:rsidRDefault="00E7146B" w:rsidP="0073177D">
      <w:pPr>
        <w:numPr>
          <w:ilvl w:val="0"/>
          <w:numId w:val="6"/>
        </w:numPr>
        <w:spacing w:after="0" w:line="240" w:lineRule="auto"/>
        <w:ind w:left="1440"/>
        <w:rPr>
          <w:rFonts w:cstheme="minorHAnsi"/>
        </w:rPr>
      </w:pPr>
      <w:r>
        <w:rPr>
          <w:rFonts w:cstheme="minorHAnsi"/>
        </w:rPr>
        <w:t>P</w:t>
      </w:r>
      <w:r w:rsidR="00DF4B6B" w:rsidRPr="002B683A">
        <w:rPr>
          <w:rFonts w:cstheme="minorHAnsi"/>
        </w:rPr>
        <w:t xml:space="preserve">articipate in </w:t>
      </w:r>
      <w:r>
        <w:rPr>
          <w:rFonts w:cstheme="minorHAnsi"/>
        </w:rPr>
        <w:t>activities beyond the classroom.</w:t>
      </w:r>
    </w:p>
    <w:p w14:paraId="37DEF76F" w14:textId="191C43F7" w:rsidR="0073177D" w:rsidRDefault="0073177D" w:rsidP="0073177D">
      <w:pPr>
        <w:spacing w:after="0" w:line="240" w:lineRule="auto"/>
        <w:rPr>
          <w:rStyle w:val="Hyperlink"/>
          <w:rFonts w:cstheme="minorHAnsi"/>
        </w:rPr>
      </w:pPr>
      <w:r>
        <w:rPr>
          <w:rStyle w:val="Hyperlink"/>
          <w:rFonts w:cstheme="minorHAnsi"/>
        </w:rPr>
        <w:t xml:space="preserve"> </w:t>
      </w:r>
    </w:p>
    <w:p w14:paraId="06912F59" w14:textId="77777777" w:rsidR="0073177D" w:rsidRDefault="0073177D" w:rsidP="0073177D">
      <w:pPr>
        <w:spacing w:after="0" w:line="240" w:lineRule="auto"/>
        <w:rPr>
          <w:rFonts w:cstheme="minorHAnsi"/>
        </w:rPr>
      </w:pPr>
    </w:p>
    <w:p w14:paraId="07AC29DC" w14:textId="4064B3BD" w:rsidR="0073177D" w:rsidRDefault="0073177D" w:rsidP="0073177D">
      <w:pPr>
        <w:rPr>
          <w:rFonts w:cstheme="minorHAnsi"/>
          <w:b/>
        </w:rPr>
      </w:pPr>
      <w:r w:rsidRPr="0073177D">
        <w:rPr>
          <w:rFonts w:cstheme="minorHAnsi"/>
          <w:b/>
        </w:rPr>
        <w:t>Development of Performance Level Descriptors</w:t>
      </w:r>
    </w:p>
    <w:p w14:paraId="4B068ED5" w14:textId="72438469" w:rsidR="00702858" w:rsidRPr="00702858" w:rsidRDefault="00702858" w:rsidP="00702858">
      <w:pPr>
        <w:pStyle w:val="ListParagraph"/>
        <w:numPr>
          <w:ilvl w:val="0"/>
          <w:numId w:val="7"/>
        </w:numPr>
        <w:autoSpaceDE w:val="0"/>
        <w:autoSpaceDN w:val="0"/>
        <w:adjustRightInd w:val="0"/>
        <w:spacing w:after="0" w:line="240" w:lineRule="auto"/>
        <w:rPr>
          <w:rFonts w:cs="TimesNewRomanPSMT"/>
        </w:rPr>
      </w:pPr>
      <w:r w:rsidRPr="00702858">
        <w:rPr>
          <w:rFonts w:cs="TimesNewRomanPSMT"/>
        </w:rPr>
        <w:t xml:space="preserve">On January 29-31, 2018, a Performance Level Descriptor (PLD) Workshop was conducted by the Nebraska Department of Education (NDE) in collaboration with ACT and </w:t>
      </w:r>
      <w:proofErr w:type="spellStart"/>
      <w:r w:rsidRPr="00702858">
        <w:rPr>
          <w:rFonts w:cs="TimesNewRomanPSMT"/>
        </w:rPr>
        <w:t>EdMetric</w:t>
      </w:r>
      <w:proofErr w:type="spellEnd"/>
      <w:r w:rsidRPr="00702858">
        <w:rPr>
          <w:rFonts w:cs="TimesNewRomanPSMT"/>
        </w:rPr>
        <w:t xml:space="preserve"> LLC (</w:t>
      </w:r>
      <w:proofErr w:type="spellStart"/>
      <w:r w:rsidRPr="00702858">
        <w:rPr>
          <w:rFonts w:cs="TimesNewRomanPSMT"/>
        </w:rPr>
        <w:t>EdMetric</w:t>
      </w:r>
      <w:proofErr w:type="spellEnd"/>
      <w:r w:rsidRPr="00702858">
        <w:rPr>
          <w:rFonts w:cs="TimesNewRomanPSMT"/>
        </w:rPr>
        <w:t xml:space="preserve">), at the Marriott Cornhusker in Lincoln, Nebraska. The purpose of this workshop was to create Range PLDs for administration of the ACT College and Career Readiness Standards in English Language Arts (ELA), Mathematics, and Science to Nebraska’s Grade 11 students. Range PLDs serve to illustrate the knowledge, skills, and processes demonstrated by students within each Nebraska ACT performance level relative to the ACT College and Career Readiness Standards in ELA, Mathematics, and Science. Dr. Karla Egan, Principal of </w:t>
      </w:r>
      <w:proofErr w:type="spellStart"/>
      <w:r w:rsidRPr="00702858">
        <w:rPr>
          <w:rFonts w:cs="TimesNewRomanPSMT"/>
        </w:rPr>
        <w:t>EdMetric</w:t>
      </w:r>
      <w:proofErr w:type="spellEnd"/>
      <w:r w:rsidRPr="00702858">
        <w:rPr>
          <w:rFonts w:cs="TimesNewRomanPSMT"/>
        </w:rPr>
        <w:t xml:space="preserve">, served Standards in ELA, Mathematics, and Science. Dr. Karla Egan, Principal of </w:t>
      </w:r>
      <w:proofErr w:type="spellStart"/>
      <w:r w:rsidRPr="00702858">
        <w:rPr>
          <w:rFonts w:cs="TimesNewRomanPSMT"/>
        </w:rPr>
        <w:t>EdMetric</w:t>
      </w:r>
      <w:proofErr w:type="spellEnd"/>
      <w:r w:rsidRPr="00702858">
        <w:rPr>
          <w:rFonts w:cs="TimesNewRomanPSMT"/>
        </w:rPr>
        <w:t>, served as Lead Facilitator for the workshop and was assisted by NDE staff and ACT content experts.</w:t>
      </w:r>
    </w:p>
    <w:p w14:paraId="233BB538" w14:textId="77777777" w:rsidR="00702858" w:rsidRPr="00702858" w:rsidRDefault="00702858" w:rsidP="00702858">
      <w:pPr>
        <w:autoSpaceDE w:val="0"/>
        <w:autoSpaceDN w:val="0"/>
        <w:adjustRightInd w:val="0"/>
        <w:spacing w:after="0" w:line="240" w:lineRule="auto"/>
        <w:rPr>
          <w:rFonts w:cs="TimesNewRomanPSMT"/>
        </w:rPr>
      </w:pPr>
    </w:p>
    <w:p w14:paraId="72CE9797" w14:textId="7FC739C8" w:rsidR="0073177D" w:rsidRDefault="0073177D" w:rsidP="0073177D">
      <w:pPr>
        <w:pStyle w:val="ListParagraph"/>
        <w:numPr>
          <w:ilvl w:val="0"/>
          <w:numId w:val="6"/>
        </w:numPr>
        <w:autoSpaceDE w:val="0"/>
        <w:autoSpaceDN w:val="0"/>
        <w:adjustRightInd w:val="0"/>
        <w:spacing w:after="0" w:line="240" w:lineRule="auto"/>
        <w:rPr>
          <w:rFonts w:cstheme="minorHAnsi"/>
        </w:rPr>
      </w:pPr>
      <w:r w:rsidRPr="0073177D">
        <w:rPr>
          <w:rFonts w:cstheme="minorHAnsi"/>
        </w:rPr>
        <w:t xml:space="preserve">Nebraska educators with content-area expertise and knowledge of the state’s expectations for college and career readiness were invited to serve on a panel to develop PLDs for the ACT test. The selected panels represented a geographic and demographic mix of educators with varying experience in standard-setting activities such as PLD development. A total of nine (9) Mathematics panelists, seven (7) Science panelists, and </w:t>
      </w:r>
      <w:r w:rsidRPr="0073177D">
        <w:rPr>
          <w:rFonts w:cstheme="minorHAnsi"/>
        </w:rPr>
        <w:lastRenderedPageBreak/>
        <w:t>12 ELA panelists participated in the workshop. The ELA group was divided into Reading and Writing subgroups, each consisting of six (6) panelists; each subgroup also completed the work in English.</w:t>
      </w:r>
    </w:p>
    <w:p w14:paraId="19611A4F" w14:textId="77777777" w:rsidR="0073177D" w:rsidRDefault="0073177D" w:rsidP="0073177D">
      <w:pPr>
        <w:autoSpaceDE w:val="0"/>
        <w:autoSpaceDN w:val="0"/>
        <w:adjustRightInd w:val="0"/>
        <w:spacing w:after="0" w:line="240" w:lineRule="auto"/>
        <w:rPr>
          <w:rFonts w:cstheme="minorHAnsi"/>
        </w:rPr>
      </w:pPr>
    </w:p>
    <w:p w14:paraId="2A25B390" w14:textId="795E32CB" w:rsidR="00E7146B" w:rsidRPr="0073177D" w:rsidRDefault="0073177D" w:rsidP="0073177D">
      <w:pPr>
        <w:pStyle w:val="ListParagraph"/>
        <w:numPr>
          <w:ilvl w:val="0"/>
          <w:numId w:val="6"/>
        </w:numPr>
        <w:rPr>
          <w:rFonts w:cstheme="minorHAnsi"/>
        </w:rPr>
      </w:pPr>
      <w:r w:rsidRPr="0073177D">
        <w:rPr>
          <w:rFonts w:cstheme="minorHAnsi"/>
        </w:rPr>
        <w:t>The results of the committee work make up the body of this document-</w:t>
      </w:r>
      <w:r w:rsidRPr="0073177D">
        <w:rPr>
          <w:rFonts w:cstheme="minorHAnsi"/>
          <w:i/>
        </w:rPr>
        <w:t xml:space="preserve"> </w:t>
      </w:r>
      <w:r w:rsidRPr="0073177D">
        <w:rPr>
          <w:i/>
        </w:rPr>
        <w:t>ACT Nebraska State Performance Level Descriptors</w:t>
      </w:r>
    </w:p>
    <w:p w14:paraId="036663EC" w14:textId="77777777" w:rsidR="00C74897" w:rsidRPr="00E7146B" w:rsidRDefault="00D705D1">
      <w:pPr>
        <w:rPr>
          <w:rFonts w:cstheme="minorHAnsi"/>
          <w:b/>
        </w:rPr>
      </w:pPr>
      <w:r w:rsidRPr="00E7146B">
        <w:rPr>
          <w:rFonts w:cstheme="minorHAnsi"/>
          <w:b/>
        </w:rPr>
        <w:t>Additional Information</w:t>
      </w:r>
    </w:p>
    <w:p w14:paraId="0A140897" w14:textId="5C6CF609" w:rsidR="00D705D1" w:rsidRPr="0073177D" w:rsidRDefault="003832DA" w:rsidP="0073177D">
      <w:pPr>
        <w:pStyle w:val="Heading3"/>
        <w:numPr>
          <w:ilvl w:val="0"/>
          <w:numId w:val="6"/>
        </w:numPr>
        <w:spacing w:line="240" w:lineRule="auto"/>
        <w:contextualSpacing/>
        <w:rPr>
          <w:rStyle w:val="Hyperlink"/>
          <w:rFonts w:asciiTheme="minorHAnsi" w:hAnsiTheme="minorHAnsi" w:cstheme="minorHAnsi"/>
          <w:b w:val="0"/>
          <w:color w:val="auto"/>
          <w:sz w:val="22"/>
          <w:u w:val="none"/>
        </w:rPr>
      </w:pPr>
      <w:hyperlink r:id="rId5" w:history="1">
        <w:r w:rsidR="00D705D1" w:rsidRPr="0073177D">
          <w:rPr>
            <w:rStyle w:val="Hyperlink"/>
            <w:rFonts w:asciiTheme="minorHAnsi" w:hAnsiTheme="minorHAnsi" w:cstheme="minorHAnsi"/>
            <w:b w:val="0"/>
            <w:sz w:val="22"/>
          </w:rPr>
          <w:t>ACT Nebraska Standard Setting</w:t>
        </w:r>
      </w:hyperlink>
    </w:p>
    <w:p w14:paraId="3D9A30A5" w14:textId="77777777" w:rsidR="00D705D1" w:rsidRPr="0073177D" w:rsidRDefault="003832DA" w:rsidP="0073177D">
      <w:pPr>
        <w:pStyle w:val="ListParagraph"/>
        <w:numPr>
          <w:ilvl w:val="0"/>
          <w:numId w:val="6"/>
        </w:numPr>
        <w:spacing w:after="0" w:line="240" w:lineRule="auto"/>
        <w:rPr>
          <w:rStyle w:val="Hyperlink"/>
          <w:rFonts w:asciiTheme="minorHAnsi" w:hAnsiTheme="minorHAnsi" w:cstheme="minorHAnsi"/>
        </w:rPr>
      </w:pPr>
      <w:hyperlink r:id="rId6" w:history="1">
        <w:r w:rsidR="00D705D1" w:rsidRPr="0073177D">
          <w:rPr>
            <w:rStyle w:val="Hyperlink"/>
            <w:rFonts w:asciiTheme="minorHAnsi" w:hAnsiTheme="minorHAnsi" w:cstheme="minorHAnsi"/>
          </w:rPr>
          <w:t>ACT Standard Setting Post Committee NDE Work</w:t>
        </w:r>
      </w:hyperlink>
    </w:p>
    <w:p w14:paraId="0BFB25AC" w14:textId="6699FC7A" w:rsidR="00DF4B6B" w:rsidRPr="0073177D" w:rsidRDefault="003832DA" w:rsidP="0073177D">
      <w:pPr>
        <w:pStyle w:val="ListParagraph"/>
        <w:numPr>
          <w:ilvl w:val="0"/>
          <w:numId w:val="6"/>
        </w:numPr>
        <w:spacing w:after="0" w:line="240" w:lineRule="auto"/>
        <w:rPr>
          <w:rFonts w:asciiTheme="minorHAnsi" w:hAnsiTheme="minorHAnsi" w:cstheme="minorHAnsi"/>
        </w:rPr>
      </w:pPr>
      <w:hyperlink r:id="rId7" w:history="1">
        <w:r w:rsidR="00D705D1" w:rsidRPr="0073177D">
          <w:rPr>
            <w:rStyle w:val="Hyperlink"/>
            <w:rFonts w:asciiTheme="minorHAnsi" w:hAnsiTheme="minorHAnsi" w:cstheme="minorHAnsi"/>
          </w:rPr>
          <w:t xml:space="preserve">ACT College and Career Readiness </w:t>
        </w:r>
        <w:r w:rsidR="0073177D" w:rsidRPr="0073177D">
          <w:rPr>
            <w:rStyle w:val="Hyperlink"/>
            <w:rFonts w:asciiTheme="minorHAnsi" w:hAnsiTheme="minorHAnsi" w:cstheme="minorHAnsi"/>
          </w:rPr>
          <w:t>Standards</w:t>
        </w:r>
        <w:r w:rsidR="00D705D1" w:rsidRPr="0073177D">
          <w:rPr>
            <w:rStyle w:val="Hyperlink"/>
            <w:rFonts w:asciiTheme="minorHAnsi" w:hAnsiTheme="minorHAnsi" w:cstheme="minorHAnsi"/>
          </w:rPr>
          <w:t xml:space="preserve"> Performance Level </w:t>
        </w:r>
        <w:r w:rsidR="0073177D" w:rsidRPr="0073177D">
          <w:rPr>
            <w:rStyle w:val="Hyperlink"/>
            <w:rFonts w:asciiTheme="minorHAnsi" w:hAnsiTheme="minorHAnsi" w:cstheme="minorHAnsi"/>
          </w:rPr>
          <w:t>Descriptors</w:t>
        </w:r>
      </w:hyperlink>
    </w:p>
    <w:p w14:paraId="6267AE49" w14:textId="77777777" w:rsidR="0073177D" w:rsidRPr="0073177D" w:rsidRDefault="00DF4B6B" w:rsidP="0073177D">
      <w:pPr>
        <w:pStyle w:val="ListParagraph"/>
        <w:numPr>
          <w:ilvl w:val="1"/>
          <w:numId w:val="6"/>
        </w:numPr>
        <w:spacing w:after="0" w:line="240" w:lineRule="auto"/>
        <w:rPr>
          <w:rFonts w:asciiTheme="minorHAnsi" w:hAnsiTheme="minorHAnsi" w:cstheme="minorHAnsi"/>
        </w:rPr>
      </w:pPr>
      <w:r w:rsidRPr="0073177D">
        <w:rPr>
          <w:rFonts w:asciiTheme="minorHAnsi" w:hAnsiTheme="minorHAnsi" w:cstheme="minorHAnsi"/>
        </w:rPr>
        <w:t xml:space="preserve">Click on </w:t>
      </w:r>
      <w:r w:rsidR="002B683A" w:rsidRPr="0073177D">
        <w:rPr>
          <w:rFonts w:asciiTheme="minorHAnsi" w:hAnsiTheme="minorHAnsi" w:cstheme="minorHAnsi"/>
        </w:rPr>
        <w:t>content</w:t>
      </w:r>
      <w:r w:rsidRPr="0073177D">
        <w:rPr>
          <w:rFonts w:asciiTheme="minorHAnsi" w:hAnsiTheme="minorHAnsi" w:cstheme="minorHAnsi"/>
        </w:rPr>
        <w:t xml:space="preserve"> area </w:t>
      </w:r>
    </w:p>
    <w:p w14:paraId="1F756E9C" w14:textId="77777777" w:rsidR="0073177D" w:rsidRDefault="0073177D" w:rsidP="0073177D">
      <w:pPr>
        <w:spacing w:after="0" w:line="240" w:lineRule="auto"/>
        <w:rPr>
          <w:rFonts w:cstheme="minorHAnsi"/>
        </w:rPr>
      </w:pPr>
    </w:p>
    <w:p w14:paraId="1AC2E897" w14:textId="77777777" w:rsidR="0073177D" w:rsidRDefault="0073177D">
      <w:pPr>
        <w:rPr>
          <w:b/>
          <w:sz w:val="36"/>
          <w:szCs w:val="36"/>
        </w:rPr>
      </w:pPr>
    </w:p>
    <w:p w14:paraId="3A65E49F" w14:textId="77777777" w:rsidR="0073177D" w:rsidRDefault="0073177D">
      <w:pPr>
        <w:rPr>
          <w:b/>
          <w:sz w:val="36"/>
          <w:szCs w:val="36"/>
        </w:rPr>
      </w:pPr>
    </w:p>
    <w:p w14:paraId="199555D1" w14:textId="77777777" w:rsidR="0073177D" w:rsidRDefault="0073177D">
      <w:pPr>
        <w:rPr>
          <w:b/>
          <w:sz w:val="36"/>
          <w:szCs w:val="36"/>
        </w:rPr>
      </w:pPr>
    </w:p>
    <w:p w14:paraId="45E3F78D" w14:textId="77777777" w:rsidR="0073177D" w:rsidRDefault="0073177D">
      <w:pPr>
        <w:rPr>
          <w:b/>
          <w:sz w:val="36"/>
          <w:szCs w:val="36"/>
        </w:rPr>
      </w:pPr>
    </w:p>
    <w:p w14:paraId="7A853883" w14:textId="77777777" w:rsidR="0073177D" w:rsidRDefault="0073177D">
      <w:pPr>
        <w:rPr>
          <w:b/>
          <w:sz w:val="36"/>
          <w:szCs w:val="36"/>
        </w:rPr>
      </w:pPr>
    </w:p>
    <w:p w14:paraId="226F7769" w14:textId="77777777" w:rsidR="0073177D" w:rsidRDefault="0073177D">
      <w:pPr>
        <w:rPr>
          <w:b/>
          <w:sz w:val="36"/>
          <w:szCs w:val="36"/>
        </w:rPr>
      </w:pPr>
    </w:p>
    <w:p w14:paraId="4BC536C0" w14:textId="77777777" w:rsidR="0073177D" w:rsidRDefault="0073177D">
      <w:pPr>
        <w:rPr>
          <w:b/>
          <w:sz w:val="36"/>
          <w:szCs w:val="36"/>
        </w:rPr>
      </w:pPr>
    </w:p>
    <w:p w14:paraId="085232DE" w14:textId="77777777" w:rsidR="0073177D" w:rsidRDefault="0073177D">
      <w:pPr>
        <w:rPr>
          <w:b/>
          <w:sz w:val="36"/>
          <w:szCs w:val="36"/>
        </w:rPr>
      </w:pPr>
    </w:p>
    <w:p w14:paraId="51D46522" w14:textId="77777777" w:rsidR="0073177D" w:rsidRDefault="0073177D">
      <w:pPr>
        <w:rPr>
          <w:b/>
          <w:sz w:val="36"/>
          <w:szCs w:val="36"/>
        </w:rPr>
      </w:pPr>
    </w:p>
    <w:p w14:paraId="069F6088" w14:textId="77777777" w:rsidR="0073177D" w:rsidRDefault="0073177D">
      <w:pPr>
        <w:rPr>
          <w:b/>
          <w:sz w:val="36"/>
          <w:szCs w:val="36"/>
        </w:rPr>
      </w:pPr>
    </w:p>
    <w:p w14:paraId="5ECB15A4" w14:textId="77777777" w:rsidR="0073177D" w:rsidRDefault="0073177D">
      <w:pPr>
        <w:rPr>
          <w:b/>
          <w:sz w:val="36"/>
          <w:szCs w:val="36"/>
        </w:rPr>
      </w:pPr>
    </w:p>
    <w:p w14:paraId="0C9B9343" w14:textId="77777777" w:rsidR="0073177D" w:rsidRDefault="0073177D">
      <w:pPr>
        <w:rPr>
          <w:b/>
          <w:sz w:val="36"/>
          <w:szCs w:val="36"/>
        </w:rPr>
      </w:pPr>
    </w:p>
    <w:p w14:paraId="4291876F" w14:textId="77777777" w:rsidR="0073177D" w:rsidRDefault="0073177D">
      <w:pPr>
        <w:rPr>
          <w:b/>
          <w:sz w:val="36"/>
          <w:szCs w:val="36"/>
        </w:rPr>
      </w:pPr>
    </w:p>
    <w:p w14:paraId="3CE0F1A1" w14:textId="31689D74" w:rsidR="00DF4B6B" w:rsidRPr="002B683A" w:rsidRDefault="0073177D" w:rsidP="0073177D">
      <w:pPr>
        <w:jc w:val="center"/>
        <w:rPr>
          <w:rFonts w:cstheme="minorHAnsi"/>
        </w:rPr>
      </w:pPr>
      <w:r w:rsidRPr="00DF4B6B">
        <w:rPr>
          <w:b/>
          <w:sz w:val="36"/>
          <w:szCs w:val="36"/>
        </w:rPr>
        <w:lastRenderedPageBreak/>
        <w:t>ACT Nebraska State Performance Level Descriptors</w:t>
      </w:r>
    </w:p>
    <w:sectPr w:rsidR="00DF4B6B" w:rsidRPr="002B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E51"/>
    <w:multiLevelType w:val="hybridMultilevel"/>
    <w:tmpl w:val="E8581C00"/>
    <w:lvl w:ilvl="0" w:tplc="1BF03922">
      <w:start w:val="1"/>
      <w:numFmt w:val="lowerLetter"/>
      <w:lvlText w:val="%1."/>
      <w:lvlJc w:val="left"/>
      <w:pPr>
        <w:ind w:left="720" w:hanging="360"/>
      </w:pPr>
      <w:rPr>
        <w:rFonts w:hint="default"/>
        <w:b/>
        <w:color w:val="auto"/>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3BC7"/>
    <w:multiLevelType w:val="hybridMultilevel"/>
    <w:tmpl w:val="5B9E1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6E23"/>
    <w:multiLevelType w:val="hybridMultilevel"/>
    <w:tmpl w:val="E9B0A61C"/>
    <w:lvl w:ilvl="0" w:tplc="04090001">
      <w:start w:val="1"/>
      <w:numFmt w:val="bullet"/>
      <w:lvlText w:val=""/>
      <w:lvlJc w:val="left"/>
      <w:pPr>
        <w:ind w:left="720" w:hanging="360"/>
      </w:pPr>
      <w:rPr>
        <w:rFonts w:ascii="Symbol" w:hAnsi="Symbol" w:hint="default"/>
        <w:b/>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20941"/>
    <w:multiLevelType w:val="hybridMultilevel"/>
    <w:tmpl w:val="CDE43778"/>
    <w:lvl w:ilvl="0" w:tplc="1BF03922">
      <w:start w:val="1"/>
      <w:numFmt w:val="lowerLetter"/>
      <w:lvlText w:val="%1."/>
      <w:lvlJc w:val="left"/>
      <w:pPr>
        <w:ind w:left="720" w:hanging="360"/>
      </w:pPr>
      <w:rPr>
        <w:rFonts w:hint="default"/>
        <w:b/>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3602A"/>
    <w:multiLevelType w:val="hybridMultilevel"/>
    <w:tmpl w:val="07B0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4516A"/>
    <w:multiLevelType w:val="hybridMultilevel"/>
    <w:tmpl w:val="486A7748"/>
    <w:lvl w:ilvl="0" w:tplc="6CAA411A">
      <w:start w:val="1"/>
      <w:numFmt w:val="bullet"/>
      <w:lvlText w:val="•"/>
      <w:lvlJc w:val="left"/>
      <w:pPr>
        <w:tabs>
          <w:tab w:val="num" w:pos="720"/>
        </w:tabs>
        <w:ind w:left="720" w:hanging="360"/>
      </w:pPr>
      <w:rPr>
        <w:rFonts w:ascii="Arial" w:hAnsi="Arial" w:hint="default"/>
      </w:rPr>
    </w:lvl>
    <w:lvl w:ilvl="1" w:tplc="F22413AA" w:tentative="1">
      <w:start w:val="1"/>
      <w:numFmt w:val="bullet"/>
      <w:lvlText w:val="•"/>
      <w:lvlJc w:val="left"/>
      <w:pPr>
        <w:tabs>
          <w:tab w:val="num" w:pos="1440"/>
        </w:tabs>
        <w:ind w:left="1440" w:hanging="360"/>
      </w:pPr>
      <w:rPr>
        <w:rFonts w:ascii="Arial" w:hAnsi="Arial" w:hint="default"/>
      </w:rPr>
    </w:lvl>
    <w:lvl w:ilvl="2" w:tplc="B340192E" w:tentative="1">
      <w:start w:val="1"/>
      <w:numFmt w:val="bullet"/>
      <w:lvlText w:val="•"/>
      <w:lvlJc w:val="left"/>
      <w:pPr>
        <w:tabs>
          <w:tab w:val="num" w:pos="2160"/>
        </w:tabs>
        <w:ind w:left="2160" w:hanging="360"/>
      </w:pPr>
      <w:rPr>
        <w:rFonts w:ascii="Arial" w:hAnsi="Arial" w:hint="default"/>
      </w:rPr>
    </w:lvl>
    <w:lvl w:ilvl="3" w:tplc="46A24772" w:tentative="1">
      <w:start w:val="1"/>
      <w:numFmt w:val="bullet"/>
      <w:lvlText w:val="•"/>
      <w:lvlJc w:val="left"/>
      <w:pPr>
        <w:tabs>
          <w:tab w:val="num" w:pos="2880"/>
        </w:tabs>
        <w:ind w:left="2880" w:hanging="360"/>
      </w:pPr>
      <w:rPr>
        <w:rFonts w:ascii="Arial" w:hAnsi="Arial" w:hint="default"/>
      </w:rPr>
    </w:lvl>
    <w:lvl w:ilvl="4" w:tplc="6EBA2DCE" w:tentative="1">
      <w:start w:val="1"/>
      <w:numFmt w:val="bullet"/>
      <w:lvlText w:val="•"/>
      <w:lvlJc w:val="left"/>
      <w:pPr>
        <w:tabs>
          <w:tab w:val="num" w:pos="3600"/>
        </w:tabs>
        <w:ind w:left="3600" w:hanging="360"/>
      </w:pPr>
      <w:rPr>
        <w:rFonts w:ascii="Arial" w:hAnsi="Arial" w:hint="default"/>
      </w:rPr>
    </w:lvl>
    <w:lvl w:ilvl="5" w:tplc="9E68939C" w:tentative="1">
      <w:start w:val="1"/>
      <w:numFmt w:val="bullet"/>
      <w:lvlText w:val="•"/>
      <w:lvlJc w:val="left"/>
      <w:pPr>
        <w:tabs>
          <w:tab w:val="num" w:pos="4320"/>
        </w:tabs>
        <w:ind w:left="4320" w:hanging="360"/>
      </w:pPr>
      <w:rPr>
        <w:rFonts w:ascii="Arial" w:hAnsi="Arial" w:hint="default"/>
      </w:rPr>
    </w:lvl>
    <w:lvl w:ilvl="6" w:tplc="515A504E" w:tentative="1">
      <w:start w:val="1"/>
      <w:numFmt w:val="bullet"/>
      <w:lvlText w:val="•"/>
      <w:lvlJc w:val="left"/>
      <w:pPr>
        <w:tabs>
          <w:tab w:val="num" w:pos="5040"/>
        </w:tabs>
        <w:ind w:left="5040" w:hanging="360"/>
      </w:pPr>
      <w:rPr>
        <w:rFonts w:ascii="Arial" w:hAnsi="Arial" w:hint="default"/>
      </w:rPr>
    </w:lvl>
    <w:lvl w:ilvl="7" w:tplc="0F464AE8" w:tentative="1">
      <w:start w:val="1"/>
      <w:numFmt w:val="bullet"/>
      <w:lvlText w:val="•"/>
      <w:lvlJc w:val="left"/>
      <w:pPr>
        <w:tabs>
          <w:tab w:val="num" w:pos="5760"/>
        </w:tabs>
        <w:ind w:left="5760" w:hanging="360"/>
      </w:pPr>
      <w:rPr>
        <w:rFonts w:ascii="Arial" w:hAnsi="Arial" w:hint="default"/>
      </w:rPr>
    </w:lvl>
    <w:lvl w:ilvl="8" w:tplc="31304F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607D8E"/>
    <w:multiLevelType w:val="hybridMultilevel"/>
    <w:tmpl w:val="CDE43778"/>
    <w:lvl w:ilvl="0" w:tplc="1BF03922">
      <w:start w:val="1"/>
      <w:numFmt w:val="lowerLetter"/>
      <w:lvlText w:val="%1."/>
      <w:lvlJc w:val="left"/>
      <w:pPr>
        <w:ind w:left="720" w:hanging="360"/>
      </w:pPr>
      <w:rPr>
        <w:rFonts w:hint="default"/>
        <w:b/>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97"/>
    <w:rsid w:val="002B683A"/>
    <w:rsid w:val="002C5C93"/>
    <w:rsid w:val="003832DA"/>
    <w:rsid w:val="00702858"/>
    <w:rsid w:val="0073177D"/>
    <w:rsid w:val="00786AC4"/>
    <w:rsid w:val="00966E82"/>
    <w:rsid w:val="00967B78"/>
    <w:rsid w:val="00C63638"/>
    <w:rsid w:val="00C74897"/>
    <w:rsid w:val="00D705D1"/>
    <w:rsid w:val="00DF4B6B"/>
    <w:rsid w:val="00E7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408A"/>
  <w15:chartTrackingRefBased/>
  <w15:docId w15:val="{0E7DE1E5-2BDC-4F44-84D8-A231D91B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C63638"/>
    <w:pPr>
      <w:spacing w:before="200" w:after="0" w:line="271" w:lineRule="auto"/>
      <w:outlineLvl w:val="2"/>
    </w:pPr>
    <w:rPr>
      <w:rFonts w:asciiTheme="majorHAnsi" w:eastAsia="Times New Roman" w:hAnsiTheme="majorHAnsi" w:cs="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63638"/>
    <w:rPr>
      <w:rFonts w:asciiTheme="majorHAnsi" w:eastAsia="Times New Roman" w:hAnsiTheme="majorHAnsi" w:cs="Times New Roman"/>
      <w:b/>
      <w:bCs/>
      <w:sz w:val="24"/>
      <w:lang w:bidi="en-US"/>
    </w:rPr>
  </w:style>
  <w:style w:type="paragraph" w:styleId="ListParagraph">
    <w:name w:val="List Paragraph"/>
    <w:basedOn w:val="Normal"/>
    <w:uiPriority w:val="34"/>
    <w:qFormat/>
    <w:rsid w:val="00C63638"/>
    <w:pPr>
      <w:ind w:left="720"/>
      <w:contextualSpacing/>
    </w:pPr>
    <w:rPr>
      <w:rFonts w:ascii="Palatino" w:eastAsia="Times New Roman" w:hAnsi="Palatino" w:cs="Times New Roman"/>
      <w:lang w:bidi="en-US"/>
    </w:rPr>
  </w:style>
  <w:style w:type="character" w:styleId="Hyperlink">
    <w:name w:val="Hyperlink"/>
    <w:basedOn w:val="DefaultParagraphFont"/>
    <w:uiPriority w:val="99"/>
    <w:unhideWhenUsed/>
    <w:rsid w:val="00D705D1"/>
    <w:rPr>
      <w:color w:val="0000FF"/>
      <w:u w:val="single"/>
    </w:rPr>
  </w:style>
  <w:style w:type="character" w:styleId="CommentReference">
    <w:name w:val="annotation reference"/>
    <w:basedOn w:val="DefaultParagraphFont"/>
    <w:uiPriority w:val="99"/>
    <w:semiHidden/>
    <w:unhideWhenUsed/>
    <w:rsid w:val="002B683A"/>
    <w:rPr>
      <w:sz w:val="16"/>
      <w:szCs w:val="16"/>
    </w:rPr>
  </w:style>
  <w:style w:type="paragraph" w:styleId="CommentText">
    <w:name w:val="annotation text"/>
    <w:basedOn w:val="Normal"/>
    <w:link w:val="CommentTextChar"/>
    <w:uiPriority w:val="99"/>
    <w:semiHidden/>
    <w:unhideWhenUsed/>
    <w:rsid w:val="002B683A"/>
    <w:pPr>
      <w:spacing w:line="240" w:lineRule="auto"/>
    </w:pPr>
    <w:rPr>
      <w:sz w:val="20"/>
      <w:szCs w:val="20"/>
    </w:rPr>
  </w:style>
  <w:style w:type="character" w:customStyle="1" w:styleId="CommentTextChar">
    <w:name w:val="Comment Text Char"/>
    <w:basedOn w:val="DefaultParagraphFont"/>
    <w:link w:val="CommentText"/>
    <w:uiPriority w:val="99"/>
    <w:semiHidden/>
    <w:rsid w:val="002B683A"/>
    <w:rPr>
      <w:sz w:val="20"/>
      <w:szCs w:val="20"/>
    </w:rPr>
  </w:style>
  <w:style w:type="paragraph" w:styleId="CommentSubject">
    <w:name w:val="annotation subject"/>
    <w:basedOn w:val="CommentText"/>
    <w:next w:val="CommentText"/>
    <w:link w:val="CommentSubjectChar"/>
    <w:uiPriority w:val="99"/>
    <w:semiHidden/>
    <w:unhideWhenUsed/>
    <w:rsid w:val="002B683A"/>
    <w:rPr>
      <w:b/>
      <w:bCs/>
    </w:rPr>
  </w:style>
  <w:style w:type="character" w:customStyle="1" w:styleId="CommentSubjectChar">
    <w:name w:val="Comment Subject Char"/>
    <w:basedOn w:val="CommentTextChar"/>
    <w:link w:val="CommentSubject"/>
    <w:uiPriority w:val="99"/>
    <w:semiHidden/>
    <w:rsid w:val="002B683A"/>
    <w:rPr>
      <w:b/>
      <w:bCs/>
      <w:sz w:val="20"/>
      <w:szCs w:val="20"/>
    </w:rPr>
  </w:style>
  <w:style w:type="paragraph" w:styleId="BalloonText">
    <w:name w:val="Balloon Text"/>
    <w:basedOn w:val="Normal"/>
    <w:link w:val="BalloonTextChar"/>
    <w:uiPriority w:val="99"/>
    <w:semiHidden/>
    <w:unhideWhenUsed/>
    <w:rsid w:val="002B6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3177">
      <w:bodyDiv w:val="1"/>
      <w:marLeft w:val="0"/>
      <w:marRight w:val="0"/>
      <w:marTop w:val="0"/>
      <w:marBottom w:val="0"/>
      <w:divBdr>
        <w:top w:val="none" w:sz="0" w:space="0" w:color="auto"/>
        <w:left w:val="none" w:sz="0" w:space="0" w:color="auto"/>
        <w:bottom w:val="none" w:sz="0" w:space="0" w:color="auto"/>
        <w:right w:val="none" w:sz="0" w:space="0" w:color="auto"/>
      </w:divBdr>
      <w:divsChild>
        <w:div w:id="335033765">
          <w:marLeft w:val="547"/>
          <w:marRight w:val="0"/>
          <w:marTop w:val="86"/>
          <w:marBottom w:val="0"/>
          <w:divBdr>
            <w:top w:val="none" w:sz="0" w:space="0" w:color="auto"/>
            <w:left w:val="none" w:sz="0" w:space="0" w:color="auto"/>
            <w:bottom w:val="none" w:sz="0" w:space="0" w:color="auto"/>
            <w:right w:val="none" w:sz="0" w:space="0" w:color="auto"/>
          </w:divBdr>
        </w:div>
        <w:div w:id="1216507188">
          <w:marLeft w:val="547"/>
          <w:marRight w:val="0"/>
          <w:marTop w:val="86"/>
          <w:marBottom w:val="0"/>
          <w:divBdr>
            <w:top w:val="none" w:sz="0" w:space="0" w:color="auto"/>
            <w:left w:val="none" w:sz="0" w:space="0" w:color="auto"/>
            <w:bottom w:val="none" w:sz="0" w:space="0" w:color="auto"/>
            <w:right w:val="none" w:sz="0" w:space="0" w:color="auto"/>
          </w:divBdr>
        </w:div>
        <w:div w:id="1976566761">
          <w:marLeft w:val="547"/>
          <w:marRight w:val="0"/>
          <w:marTop w:val="86"/>
          <w:marBottom w:val="0"/>
          <w:divBdr>
            <w:top w:val="none" w:sz="0" w:space="0" w:color="auto"/>
            <w:left w:val="none" w:sz="0" w:space="0" w:color="auto"/>
            <w:bottom w:val="none" w:sz="0" w:space="0" w:color="auto"/>
            <w:right w:val="none" w:sz="0" w:space="0" w:color="auto"/>
          </w:divBdr>
        </w:div>
        <w:div w:id="1113330336">
          <w:marLeft w:val="547"/>
          <w:marRight w:val="0"/>
          <w:marTop w:val="86"/>
          <w:marBottom w:val="0"/>
          <w:divBdr>
            <w:top w:val="none" w:sz="0" w:space="0" w:color="auto"/>
            <w:left w:val="none" w:sz="0" w:space="0" w:color="auto"/>
            <w:bottom w:val="none" w:sz="0" w:space="0" w:color="auto"/>
            <w:right w:val="none" w:sz="0" w:space="0" w:color="auto"/>
          </w:divBdr>
        </w:div>
        <w:div w:id="1107578400">
          <w:marLeft w:val="547"/>
          <w:marRight w:val="0"/>
          <w:marTop w:val="86"/>
          <w:marBottom w:val="0"/>
          <w:divBdr>
            <w:top w:val="none" w:sz="0" w:space="0" w:color="auto"/>
            <w:left w:val="none" w:sz="0" w:space="0" w:color="auto"/>
            <w:bottom w:val="none" w:sz="0" w:space="0" w:color="auto"/>
            <w:right w:val="none" w:sz="0" w:space="0" w:color="auto"/>
          </w:divBdr>
        </w:div>
        <w:div w:id="2081244657">
          <w:marLeft w:val="547"/>
          <w:marRight w:val="0"/>
          <w:marTop w:val="86"/>
          <w:marBottom w:val="0"/>
          <w:divBdr>
            <w:top w:val="none" w:sz="0" w:space="0" w:color="auto"/>
            <w:left w:val="none" w:sz="0" w:space="0" w:color="auto"/>
            <w:bottom w:val="none" w:sz="0" w:space="0" w:color="auto"/>
            <w:right w:val="none" w:sz="0" w:space="0" w:color="auto"/>
          </w:divBdr>
        </w:div>
      </w:divsChild>
    </w:div>
    <w:div w:id="17540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org/content/act/en/college-and-career-readiness/stand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x9dwr1yq1he1dw6623gg411-wpengine.netdna-ssl.com/wp-content/uploads/2018/01/ACT-Standard-Setting-Post-Committee-NDE-Work.pdf" TargetMode="External"/><Relationship Id="rId5" Type="http://schemas.openxmlformats.org/officeDocument/2006/relationships/hyperlink" Target="https://2x9dwr1yq1he1dw6623gg411-wpengine.netdna-ssl.com/wp-content/uploads/2018/01/ACT-Nebraska-Standard-Setting.pdf%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D012AC64</Template>
  <TotalTime>0</TotalTime>
  <Pages>4</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Foy</dc:creator>
  <cp:keywords/>
  <dc:description/>
  <cp:lastModifiedBy>Valorie Foy</cp:lastModifiedBy>
  <cp:revision>2</cp:revision>
  <dcterms:created xsi:type="dcterms:W3CDTF">2018-08-30T18:12:00Z</dcterms:created>
  <dcterms:modified xsi:type="dcterms:W3CDTF">2018-08-30T18:12:00Z</dcterms:modified>
</cp:coreProperties>
</file>