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B1A" w:rsidRPr="00AD155D" w:rsidRDefault="00611B1A" w:rsidP="00611B1A">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12664133" wp14:editId="77DFF227">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611B1A" w:rsidRPr="00AD155D" w:rsidRDefault="00611B1A" w:rsidP="00611B1A">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611B1A" w:rsidRPr="008B4511" w:rsidRDefault="00611B1A" w:rsidP="00611B1A">
      <w:pPr>
        <w:tabs>
          <w:tab w:val="center" w:pos="7200"/>
        </w:tabs>
        <w:rPr>
          <w:rFonts w:asciiTheme="minorHAnsi" w:hAnsiTheme="minorHAnsi" w:cs="Arial"/>
          <w:b/>
          <w:sz w:val="18"/>
          <w:szCs w:val="18"/>
        </w:rPr>
      </w:pPr>
    </w:p>
    <w:p w:rsidR="00611B1A" w:rsidRPr="00A963B6" w:rsidRDefault="00611B1A" w:rsidP="00611B1A">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611B1A" w:rsidRPr="00A963B6" w:rsidRDefault="00611B1A" w:rsidP="00611B1A">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611B1A" w:rsidRPr="008B4511" w:rsidRDefault="00611B1A" w:rsidP="00611B1A">
      <w:pPr>
        <w:rPr>
          <w:rFonts w:asciiTheme="minorHAnsi" w:hAnsiTheme="minorHAnsi" w:cs="Arial"/>
          <w:b/>
          <w:bCs/>
          <w:sz w:val="18"/>
          <w:szCs w:val="18"/>
        </w:rPr>
      </w:pPr>
    </w:p>
    <w:p w:rsidR="00611B1A" w:rsidRPr="006F7D59" w:rsidRDefault="00611B1A" w:rsidP="00611B1A">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sidR="00AC71C3">
        <w:rPr>
          <w:rFonts w:asciiTheme="minorHAnsi" w:hAnsiTheme="minorHAnsi" w:cs="Arial"/>
          <w:b/>
          <w:bCs/>
          <w:sz w:val="20"/>
          <w:szCs w:val="20"/>
        </w:rPr>
        <w:t>SPEECH LANGUAGE PATHOLOGIST</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Birth-Age 21</w:t>
      </w:r>
    </w:p>
    <w:p w:rsidR="00611B1A" w:rsidRPr="009471A5" w:rsidRDefault="00611B1A" w:rsidP="00611B1A">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36</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FIELD</w:t>
      </w:r>
    </w:p>
    <w:p w:rsidR="00611B1A" w:rsidRPr="008B4511" w:rsidRDefault="00611B1A" w:rsidP="00611B1A">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611B1A" w:rsidRPr="008B4511" w:rsidTr="00BE0FF6">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611B1A" w:rsidRPr="00A963B6" w:rsidRDefault="00611B1A" w:rsidP="00BE0FF6">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611B1A" w:rsidRPr="00A963B6" w:rsidRDefault="00611B1A" w:rsidP="0076269D">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3587" w:rsidRPr="000E3E4F" w:rsidTr="00BE0FF6">
        <w:trPr>
          <w:cantSplit/>
          <w:trHeight w:val="1920"/>
          <w:tblHeader/>
        </w:trPr>
        <w:tc>
          <w:tcPr>
            <w:tcW w:w="3985" w:type="dxa"/>
            <w:tcBorders>
              <w:top w:val="single" w:sz="4" w:space="0" w:color="auto"/>
              <w:left w:val="single" w:sz="4" w:space="0" w:color="auto"/>
              <w:bottom w:val="single" w:sz="4" w:space="0" w:color="auto"/>
            </w:tcBorders>
            <w:vAlign w:val="bottom"/>
          </w:tcPr>
          <w:p w:rsidR="00773587" w:rsidRPr="000E3E4F" w:rsidRDefault="000E3E4F" w:rsidP="00D03161">
            <w:pPr>
              <w:tabs>
                <w:tab w:val="left" w:pos="1800"/>
                <w:tab w:val="left" w:pos="4320"/>
              </w:tabs>
              <w:rPr>
                <w:rFonts w:asciiTheme="minorHAnsi" w:hAnsiTheme="minorHAnsi" w:cstheme="minorHAnsi"/>
                <w:sz w:val="18"/>
                <w:szCs w:val="18"/>
              </w:rPr>
            </w:pPr>
            <w:r w:rsidRPr="000E3E4F">
              <w:rPr>
                <w:rFonts w:asciiTheme="minorHAnsi" w:hAnsiTheme="minorHAnsi" w:cstheme="minorHAnsi"/>
                <w:b/>
                <w:sz w:val="18"/>
                <w:szCs w:val="18"/>
                <w:u w:val="single"/>
              </w:rPr>
              <w:t>D</w:t>
            </w:r>
            <w:r w:rsidRPr="000E3E4F">
              <w:rPr>
                <w:rFonts w:asciiTheme="minorHAnsi" w:hAnsiTheme="minorHAnsi" w:cstheme="minorHAnsi"/>
                <w:b/>
                <w:sz w:val="18"/>
                <w:szCs w:val="18"/>
              </w:rPr>
              <w:t xml:space="preserve"> Certification Endorsement Requirements:  </w:t>
            </w:r>
            <w:r w:rsidRPr="000E3E4F">
              <w:rPr>
                <w:rFonts w:asciiTheme="minorHAnsi" w:hAnsiTheme="minorHAnsi" w:cstheme="minorHAnsi"/>
                <w:sz w:val="18"/>
                <w:szCs w:val="18"/>
              </w:rPr>
              <w:t xml:space="preserve">This endorsement requires a minimum of a master’s degree in speech-language pathology which includes at least </w:t>
            </w:r>
            <w:r w:rsidRPr="000E3E4F">
              <w:rPr>
                <w:rFonts w:asciiTheme="minorHAnsi" w:hAnsiTheme="minorHAnsi" w:cstheme="minorHAnsi"/>
                <w:b/>
                <w:sz w:val="18"/>
                <w:szCs w:val="18"/>
              </w:rPr>
              <w:t>36 graduate semester hours</w:t>
            </w:r>
            <w:r w:rsidRPr="000E3E4F">
              <w:rPr>
                <w:rFonts w:asciiTheme="minorHAnsi" w:hAnsiTheme="minorHAnsi" w:cstheme="minorHAnsi"/>
                <w:sz w:val="18"/>
                <w:szCs w:val="18"/>
              </w:rPr>
              <w:t xml:space="preserve"> in speech-language pathology and course work in related areas.  Applicants must complete a minimum of 400 clock hours of clinical experiences and an internship, supervised by the standard institution, in school and clinic settings.</w:t>
            </w:r>
            <w:bookmarkStart w:id="0" w:name="_GoBack"/>
            <w:bookmarkEnd w:id="0"/>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3587" w:rsidRPr="000E3E4F" w:rsidRDefault="00773587" w:rsidP="00BE0FF6">
            <w:pPr>
              <w:ind w:left="113" w:right="113"/>
              <w:rPr>
                <w:rFonts w:asciiTheme="minorHAnsi" w:hAnsiTheme="minorHAnsi" w:cstheme="minorHAnsi"/>
                <w:b/>
                <w:sz w:val="18"/>
                <w:szCs w:val="18"/>
              </w:rPr>
            </w:pPr>
            <w:r w:rsidRPr="000E3E4F">
              <w:rPr>
                <w:rFonts w:asciiTheme="minorHAnsi" w:hAnsiTheme="minorHAnsi" w:cstheme="minorHAnsi"/>
                <w:b/>
                <w:sz w:val="18"/>
                <w:szCs w:val="18"/>
              </w:rPr>
              <w:t>EXAMPLE:</w:t>
            </w:r>
            <w:r w:rsidRPr="000E3E4F">
              <w:rPr>
                <w:rFonts w:asciiTheme="minorHAnsi" w:hAnsiTheme="minorHAnsi" w:cstheme="minorHAnsi"/>
                <w:b/>
                <w:sz w:val="18"/>
                <w:szCs w:val="18"/>
              </w:rPr>
              <w:br/>
              <w:t>CHEM 101 or 102 3 CR</w:t>
            </w: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c>
          <w:tcPr>
            <w:tcW w:w="288" w:type="dxa"/>
            <w:textDirection w:val="btLr"/>
            <w:vAlign w:val="center"/>
          </w:tcPr>
          <w:p w:rsidR="00773587" w:rsidRPr="000E3E4F" w:rsidRDefault="00773587" w:rsidP="009A269E">
            <w:pPr>
              <w:ind w:left="113" w:right="113"/>
              <w:rPr>
                <w:rFonts w:asciiTheme="minorHAnsi" w:hAnsiTheme="minorHAnsi" w:cstheme="minorHAnsi"/>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0"/>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Demonstrate knowledge of the principles of biological sciences, physical sciences, mathematics, and social/behavioral sciences;</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0"/>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Demonstrate knowledge of basic human communication and swallowing processes, including their biological, neurological, acoustic, psychological, developmental, and linguistic and cultural bases;</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0"/>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 xml:space="preserve">Demonstrate knowledge of the nature of speech, language, hearing, and communication disorders and differences and swallowing disorders, including their etiologies, characteristics, anatomical/physiological, acoustic, psychological, developmental, and linguistic and cultural correlates.  </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4C5A77" w:rsidRPr="000E3E4F" w:rsidTr="00BE0FF6">
        <w:trPr>
          <w:trHeight w:val="144"/>
        </w:trPr>
        <w:tc>
          <w:tcPr>
            <w:tcW w:w="4525" w:type="dxa"/>
            <w:gridSpan w:val="2"/>
            <w:tcBorders>
              <w:top w:val="single" w:sz="4" w:space="0" w:color="auto"/>
            </w:tcBorders>
          </w:tcPr>
          <w:p w:rsidR="004C5A77" w:rsidRPr="000E3E4F" w:rsidRDefault="004C5A77" w:rsidP="00BE0FF6">
            <w:pPr>
              <w:pStyle w:val="Default"/>
              <w:numPr>
                <w:ilvl w:val="1"/>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 xml:space="preserve">Specific knowledge must be demonstrated in the following areas:  </w:t>
            </w:r>
          </w:p>
        </w:tc>
        <w:tc>
          <w:tcPr>
            <w:tcW w:w="10080" w:type="dxa"/>
            <w:gridSpan w:val="35"/>
            <w:vAlign w:val="center"/>
          </w:tcPr>
          <w:p w:rsidR="004C5A77" w:rsidRPr="000E3E4F" w:rsidRDefault="004C5A77"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2"/>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 xml:space="preserve">speech sound disorders (articulation and phonology); </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2"/>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 xml:space="preserve">fluency; </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92"/>
        </w:trPr>
        <w:tc>
          <w:tcPr>
            <w:tcW w:w="4525" w:type="dxa"/>
            <w:gridSpan w:val="2"/>
            <w:tcBorders>
              <w:top w:val="single" w:sz="4" w:space="0" w:color="auto"/>
            </w:tcBorders>
          </w:tcPr>
          <w:p w:rsidR="00C9219B" w:rsidRPr="000E3E4F" w:rsidRDefault="00C9219B" w:rsidP="00BE0FF6">
            <w:pPr>
              <w:pStyle w:val="Default"/>
              <w:numPr>
                <w:ilvl w:val="2"/>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 xml:space="preserve">voice and resonance, including respiration and phonation; </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2"/>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 xml:space="preserve">receptive and expressive language (prelinguistic, paralinguistic, phonology, morphology, syntax, semantics, and pragmatics) in speaking, listening, reading, writing, and manual modalities; </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2"/>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lastRenderedPageBreak/>
              <w:t xml:space="preserve">hearing, including the impact on speech and language; </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2"/>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 xml:space="preserve">swallowing (oral, pharyngeal, esophageal, and related functions, including oral function for feeding; orofacial myofunction); </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2"/>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 xml:space="preserve">cognitive aspects of communication (attention, memory, sequencing, problem-solving, executive functioning); </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2"/>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social aspects of communication (including challenging behavior, ineffective social skills, lack of communication opportunities); and</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2"/>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 xml:space="preserve">communication modalities (including oral, manual, augmentative, and alternative communication techniques and assistive technologies).  </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0"/>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 xml:space="preserve">Demonstrate knowledge of the principles and methods of prevention, assessment, and intervention for students with communication and swallowing disorders, including consideration of anatomical/physiological, psychological, developmental, and linguistic and cultural correlates of the disorders; </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0"/>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Complete a program of study that includes supervised school and clinical experiences sufficient in breadth and depth to achieve the following skills outcomes (in addition to clinical experiences, skills may be demonstrated through successful performance on academic course work and examinations, independent projects, or other appropriate alternative methods):</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4C5A77" w:rsidRPr="000E3E4F" w:rsidTr="00BE0FF6">
        <w:trPr>
          <w:trHeight w:val="144"/>
        </w:trPr>
        <w:tc>
          <w:tcPr>
            <w:tcW w:w="4525" w:type="dxa"/>
            <w:gridSpan w:val="2"/>
            <w:tcBorders>
              <w:top w:val="single" w:sz="4" w:space="0" w:color="auto"/>
            </w:tcBorders>
          </w:tcPr>
          <w:p w:rsidR="004C5A77" w:rsidRPr="000E3E4F" w:rsidRDefault="004C5A77" w:rsidP="00BE0FF6">
            <w:pPr>
              <w:pStyle w:val="Default"/>
              <w:numPr>
                <w:ilvl w:val="1"/>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Evaluation</w:t>
            </w:r>
          </w:p>
        </w:tc>
        <w:tc>
          <w:tcPr>
            <w:tcW w:w="10080" w:type="dxa"/>
            <w:gridSpan w:val="35"/>
            <w:vAlign w:val="center"/>
          </w:tcPr>
          <w:p w:rsidR="004C5A77" w:rsidRPr="000E3E4F" w:rsidRDefault="004C5A77"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2"/>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 xml:space="preserve">Conduct screening and prevention procedures (including prevention activities); </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660"/>
        </w:trPr>
        <w:tc>
          <w:tcPr>
            <w:tcW w:w="4525" w:type="dxa"/>
            <w:gridSpan w:val="2"/>
            <w:tcBorders>
              <w:top w:val="single" w:sz="4" w:space="0" w:color="auto"/>
            </w:tcBorders>
          </w:tcPr>
          <w:p w:rsidR="00C9219B" w:rsidRPr="000E3E4F" w:rsidRDefault="00C9219B" w:rsidP="00BE0FF6">
            <w:pPr>
              <w:pStyle w:val="Default"/>
              <w:numPr>
                <w:ilvl w:val="2"/>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lastRenderedPageBreak/>
              <w:t>Collect case history information and integrate information from students, families, caregivers, teachers, relevant others, and other professionals;</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2"/>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Select and administer appropriate evaluation procedures, such as behavioral observations, non-standardized and standardized tests, and instrumental procedures;</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2"/>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Adapt evaluation procedures to meet student needs;</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2"/>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Interpret, integrate, and synthesize all information to assist in the eligibility and make appropriate recommendations for intervention;</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2"/>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Complete administrative and reporting functions necessary to support evaluation; and</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2"/>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Refer students for appropriate services.</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4C5A77" w:rsidRPr="000E3E4F" w:rsidTr="00BE0FF6">
        <w:trPr>
          <w:trHeight w:val="144"/>
        </w:trPr>
        <w:tc>
          <w:tcPr>
            <w:tcW w:w="4525" w:type="dxa"/>
            <w:gridSpan w:val="2"/>
            <w:tcBorders>
              <w:top w:val="single" w:sz="4" w:space="0" w:color="auto"/>
            </w:tcBorders>
          </w:tcPr>
          <w:p w:rsidR="004C5A77" w:rsidRPr="000E3E4F" w:rsidRDefault="004C5A77" w:rsidP="00BE0FF6">
            <w:pPr>
              <w:pStyle w:val="Default"/>
              <w:numPr>
                <w:ilvl w:val="1"/>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Intervention</w:t>
            </w:r>
          </w:p>
        </w:tc>
        <w:tc>
          <w:tcPr>
            <w:tcW w:w="10080" w:type="dxa"/>
            <w:gridSpan w:val="35"/>
            <w:vAlign w:val="center"/>
          </w:tcPr>
          <w:p w:rsidR="004C5A77" w:rsidRPr="000E3E4F" w:rsidRDefault="004C5A77"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2"/>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Develop setting-appropriate intervention plans with measurable and achievable goals that meet student needs by collaborating with students and relevant others in the planning process;</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2"/>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Implement intervention plans by involving students and relevant others in the intervention process;</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2"/>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Select or develop and use appropriate materials and instruments for prevention and intervention;</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2"/>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Measure and evaluate students’ performance and progress;</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2"/>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Modify intervention plans, strategies, materials, or instrumentation as appropriate to meet the needs of students;</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2"/>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Complete administrative and reporting functions necessary to support intervention; and</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2"/>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lastRenderedPageBreak/>
              <w:t>Identify and refer students for services as appropriate.</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4C5A77" w:rsidRPr="000E3E4F" w:rsidTr="00BE0FF6">
        <w:trPr>
          <w:trHeight w:val="144"/>
        </w:trPr>
        <w:tc>
          <w:tcPr>
            <w:tcW w:w="4525" w:type="dxa"/>
            <w:gridSpan w:val="2"/>
            <w:tcBorders>
              <w:top w:val="single" w:sz="4" w:space="0" w:color="auto"/>
            </w:tcBorders>
          </w:tcPr>
          <w:p w:rsidR="004C5A77" w:rsidRPr="000E3E4F" w:rsidRDefault="004C5A77" w:rsidP="00BE0FF6">
            <w:pPr>
              <w:pStyle w:val="Default"/>
              <w:numPr>
                <w:ilvl w:val="1"/>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Interaction and Personal Qualities</w:t>
            </w:r>
          </w:p>
        </w:tc>
        <w:tc>
          <w:tcPr>
            <w:tcW w:w="10080" w:type="dxa"/>
            <w:gridSpan w:val="35"/>
            <w:vAlign w:val="center"/>
          </w:tcPr>
          <w:p w:rsidR="004C5A77" w:rsidRPr="000E3E4F" w:rsidRDefault="004C5A77"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570"/>
        </w:trPr>
        <w:tc>
          <w:tcPr>
            <w:tcW w:w="4525" w:type="dxa"/>
            <w:gridSpan w:val="2"/>
            <w:tcBorders>
              <w:top w:val="single" w:sz="4" w:space="0" w:color="auto"/>
            </w:tcBorders>
          </w:tcPr>
          <w:p w:rsidR="00C9219B" w:rsidRPr="000E3E4F" w:rsidRDefault="00C9219B" w:rsidP="00BE0FF6">
            <w:pPr>
              <w:pStyle w:val="Default"/>
              <w:numPr>
                <w:ilvl w:val="2"/>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Communicate effectively recognizing the needs, values, preferred mode of communication, and cultural/linguistic background of the student, family, caregivers, and relevant others;</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2"/>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Collaborate with other professionals in case management;</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2"/>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Provide counseling regarding communication and swallowing disorders to students, families, caregivers, and relevant others; and</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2"/>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 xml:space="preserve">Adhere to the ASHA Code of Ethics and behave professionally. </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0"/>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Demonstrate knowledge of processes used in research and the integration of research principles into evidence-based practice;</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0"/>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 xml:space="preserve">Demonstrate knowledge of contemporary professional issues and advocacy including the provision of services in educational and clinical settings; </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0"/>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Demonstrate skill in oral, written, and other forms of communication sufficient for entry into professional practice;</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0"/>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 xml:space="preserve">Demonstrate knowledge of and experience with individuals from culturally/linguistically diverse backgrounds; and  </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r w:rsidR="00C9219B" w:rsidRPr="000E3E4F" w:rsidTr="00BE0FF6">
        <w:trPr>
          <w:trHeight w:val="144"/>
        </w:trPr>
        <w:tc>
          <w:tcPr>
            <w:tcW w:w="4525" w:type="dxa"/>
            <w:gridSpan w:val="2"/>
            <w:tcBorders>
              <w:top w:val="single" w:sz="4" w:space="0" w:color="auto"/>
            </w:tcBorders>
          </w:tcPr>
          <w:p w:rsidR="00C9219B" w:rsidRPr="000E3E4F" w:rsidRDefault="00C9219B" w:rsidP="00BE0FF6">
            <w:pPr>
              <w:pStyle w:val="Default"/>
              <w:numPr>
                <w:ilvl w:val="0"/>
                <w:numId w:val="18"/>
              </w:numPr>
              <w:rPr>
                <w:rFonts w:asciiTheme="minorHAnsi" w:hAnsiTheme="minorHAnsi" w:cstheme="minorHAnsi"/>
                <w:color w:val="auto"/>
                <w:sz w:val="18"/>
                <w:szCs w:val="18"/>
              </w:rPr>
            </w:pPr>
            <w:r w:rsidRPr="000E3E4F">
              <w:rPr>
                <w:rFonts w:asciiTheme="minorHAnsi" w:hAnsiTheme="minorHAnsi" w:cstheme="minorHAnsi"/>
                <w:color w:val="auto"/>
                <w:sz w:val="18"/>
                <w:szCs w:val="18"/>
              </w:rPr>
              <w:t>Complete a minimum of 400 clock hours of supervised school and clinical experience in the practice of speech-language pathology, including 25 hours in clinical observation and 375 hours in direct client contact, of which 325 clock hours occur during graduate study.</w:t>
            </w: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9219B" w:rsidRPr="000E3E4F" w:rsidRDefault="00C9219B" w:rsidP="00C96A63">
            <w:pPr>
              <w:tabs>
                <w:tab w:val="left" w:pos="1800"/>
                <w:tab w:val="left" w:pos="4320"/>
              </w:tabs>
              <w:jc w:val="center"/>
              <w:rPr>
                <w:rFonts w:asciiTheme="minorHAnsi" w:hAnsiTheme="minorHAnsi" w:cstheme="minorHAnsi"/>
                <w:b/>
                <w:bCs/>
                <w:sz w:val="18"/>
                <w:szCs w:val="18"/>
              </w:rPr>
            </w:pPr>
          </w:p>
        </w:tc>
      </w:tr>
    </w:tbl>
    <w:p w:rsidR="00B65821" w:rsidRDefault="00B65821">
      <w:pPr>
        <w:tabs>
          <w:tab w:val="left" w:pos="1800"/>
          <w:tab w:val="left" w:pos="4320"/>
        </w:tabs>
        <w:rPr>
          <w:rFonts w:ascii="Arial" w:hAnsi="Arial" w:cs="Arial"/>
          <w:sz w:val="16"/>
          <w:szCs w:val="16"/>
        </w:rPr>
      </w:pPr>
    </w:p>
    <w:p w:rsidR="003F0678" w:rsidRDefault="003F0678" w:rsidP="00E90F3E">
      <w:pPr>
        <w:rPr>
          <w:rFonts w:ascii="Arial" w:hAnsi="Arial" w:cs="Arial"/>
          <w:sz w:val="16"/>
          <w:szCs w:val="16"/>
        </w:rPr>
      </w:pPr>
    </w:p>
    <w:sectPr w:rsidR="003F0678"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6419F2" w:rsidP="00C34708">
    <w:pPr>
      <w:pStyle w:val="Footer"/>
      <w:tabs>
        <w:tab w:val="clear" w:pos="4320"/>
        <w:tab w:val="clear" w:pos="8640"/>
        <w:tab w:val="center" w:pos="7200"/>
        <w:tab w:val="right" w:pos="13680"/>
      </w:tabs>
      <w:rPr>
        <w:sz w:val="14"/>
      </w:rPr>
    </w:pPr>
    <w:r>
      <w:rPr>
        <w:rStyle w:val="PageNumber"/>
        <w:sz w:val="14"/>
      </w:rPr>
      <w:t>Form Ver 1-2016</w:t>
    </w:r>
    <w:r>
      <w:rPr>
        <w:rStyle w:val="PageNumber"/>
        <w:sz w:val="14"/>
      </w:rPr>
      <w:tab/>
      <w:t>Speech Language Patholog</w:t>
    </w:r>
    <w:r w:rsidR="00AC71C3">
      <w:rPr>
        <w:rStyle w:val="PageNumber"/>
        <w:sz w:val="14"/>
      </w:rPr>
      <w:t>ist</w:t>
    </w:r>
    <w:r>
      <w:rPr>
        <w:rStyle w:val="PageNumber"/>
        <w:sz w:val="14"/>
      </w:rPr>
      <w:t xml:space="preserve">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984A1A">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984A1A">
      <w:rPr>
        <w:rStyle w:val="PageNumber"/>
        <w:noProof/>
        <w:sz w:val="14"/>
      </w:rPr>
      <w:t>4</w:t>
    </w:r>
    <w:r w:rsidRPr="005C2FE3">
      <w:rPr>
        <w:rStyle w:val="PageNumber"/>
        <w:sz w:val="14"/>
      </w:rPr>
      <w:fldChar w:fldCharType="end"/>
    </w:r>
    <w:r w:rsidR="00C34708">
      <w:rPr>
        <w:rStyle w:val="PageNumber"/>
        <w:sz w:val="14"/>
      </w:rPr>
      <w:tab/>
      <w:t xml:space="preserve">Rule24 </w:t>
    </w:r>
    <w:r w:rsidR="00D96163">
      <w:rPr>
        <w:rStyle w:val="PageNumber"/>
        <w:sz w:val="14"/>
      </w:rPr>
      <w:t xml:space="preserve">August 2013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394D0DB9"/>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6"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9"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E542C5"/>
    <w:multiLevelType w:val="multilevel"/>
    <w:tmpl w:val="554805A8"/>
    <w:numStyleLink w:val="StyleFolios"/>
  </w:abstractNum>
  <w:abstractNum w:abstractNumId="12"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706E15"/>
    <w:multiLevelType w:val="multilevel"/>
    <w:tmpl w:val="554805A8"/>
    <w:numStyleLink w:val="StyleFolios"/>
  </w:abstractNum>
  <w:abstractNum w:abstractNumId="15"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0"/>
  </w:num>
  <w:num w:numId="4">
    <w:abstractNumId w:val="15"/>
  </w:num>
  <w:num w:numId="5">
    <w:abstractNumId w:val="16"/>
  </w:num>
  <w:num w:numId="6">
    <w:abstractNumId w:val="1"/>
  </w:num>
  <w:num w:numId="7">
    <w:abstractNumId w:val="7"/>
  </w:num>
  <w:num w:numId="8">
    <w:abstractNumId w:val="17"/>
  </w:num>
  <w:num w:numId="9">
    <w:abstractNumId w:val="12"/>
  </w:num>
  <w:num w:numId="10">
    <w:abstractNumId w:val="6"/>
  </w:num>
  <w:num w:numId="11">
    <w:abstractNumId w:val="13"/>
  </w:num>
  <w:num w:numId="12">
    <w:abstractNumId w:val="2"/>
  </w:num>
  <w:num w:numId="13">
    <w:abstractNumId w:val="8"/>
  </w:num>
  <w:num w:numId="14">
    <w:abstractNumId w:val="3"/>
  </w:num>
  <w:num w:numId="15">
    <w:abstractNumId w:val="5"/>
  </w:num>
  <w:num w:numId="16">
    <w:abstractNumId w:val="14"/>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0E3E4F"/>
    <w:rsid w:val="0012297A"/>
    <w:rsid w:val="00195F6A"/>
    <w:rsid w:val="001D3637"/>
    <w:rsid w:val="001D6BBC"/>
    <w:rsid w:val="001E7929"/>
    <w:rsid w:val="002154CB"/>
    <w:rsid w:val="00215D90"/>
    <w:rsid w:val="00251B76"/>
    <w:rsid w:val="00285946"/>
    <w:rsid w:val="00295EB5"/>
    <w:rsid w:val="0030040B"/>
    <w:rsid w:val="00317E27"/>
    <w:rsid w:val="003B1AFD"/>
    <w:rsid w:val="003C2DEA"/>
    <w:rsid w:val="003E6EDC"/>
    <w:rsid w:val="003F0678"/>
    <w:rsid w:val="003F08A5"/>
    <w:rsid w:val="003F277A"/>
    <w:rsid w:val="00434152"/>
    <w:rsid w:val="004C5A77"/>
    <w:rsid w:val="00507419"/>
    <w:rsid w:val="005207B2"/>
    <w:rsid w:val="0059700F"/>
    <w:rsid w:val="005F1910"/>
    <w:rsid w:val="00602B95"/>
    <w:rsid w:val="00611B1A"/>
    <w:rsid w:val="006419F2"/>
    <w:rsid w:val="0064745F"/>
    <w:rsid w:val="00681112"/>
    <w:rsid w:val="00690324"/>
    <w:rsid w:val="006947AF"/>
    <w:rsid w:val="006B523A"/>
    <w:rsid w:val="006D5AEE"/>
    <w:rsid w:val="006D76F6"/>
    <w:rsid w:val="006E0763"/>
    <w:rsid w:val="006E24A6"/>
    <w:rsid w:val="00701084"/>
    <w:rsid w:val="00710484"/>
    <w:rsid w:val="007653EF"/>
    <w:rsid w:val="00767376"/>
    <w:rsid w:val="00773587"/>
    <w:rsid w:val="00787AA1"/>
    <w:rsid w:val="007E70C2"/>
    <w:rsid w:val="008500BE"/>
    <w:rsid w:val="00861C4B"/>
    <w:rsid w:val="008656D9"/>
    <w:rsid w:val="00871E91"/>
    <w:rsid w:val="008D2A03"/>
    <w:rsid w:val="008D3C6F"/>
    <w:rsid w:val="00961B50"/>
    <w:rsid w:val="00964732"/>
    <w:rsid w:val="00984A1A"/>
    <w:rsid w:val="0099008B"/>
    <w:rsid w:val="009B38DD"/>
    <w:rsid w:val="009F4AB6"/>
    <w:rsid w:val="00A43816"/>
    <w:rsid w:val="00A75F31"/>
    <w:rsid w:val="00A7766F"/>
    <w:rsid w:val="00AC17E4"/>
    <w:rsid w:val="00AC71C3"/>
    <w:rsid w:val="00AE6AD8"/>
    <w:rsid w:val="00B35254"/>
    <w:rsid w:val="00B64236"/>
    <w:rsid w:val="00B65821"/>
    <w:rsid w:val="00B6793B"/>
    <w:rsid w:val="00B85FCB"/>
    <w:rsid w:val="00B86BD1"/>
    <w:rsid w:val="00BD6AE4"/>
    <w:rsid w:val="00BE0FF6"/>
    <w:rsid w:val="00BF5138"/>
    <w:rsid w:val="00BF5EE2"/>
    <w:rsid w:val="00C34708"/>
    <w:rsid w:val="00C35156"/>
    <w:rsid w:val="00C53119"/>
    <w:rsid w:val="00C56F19"/>
    <w:rsid w:val="00C81027"/>
    <w:rsid w:val="00C9219B"/>
    <w:rsid w:val="00C9241D"/>
    <w:rsid w:val="00CB29E7"/>
    <w:rsid w:val="00D0281E"/>
    <w:rsid w:val="00D03161"/>
    <w:rsid w:val="00D06414"/>
    <w:rsid w:val="00D360D1"/>
    <w:rsid w:val="00D96163"/>
    <w:rsid w:val="00DA60F8"/>
    <w:rsid w:val="00DC7B0A"/>
    <w:rsid w:val="00DD5578"/>
    <w:rsid w:val="00DD72B6"/>
    <w:rsid w:val="00DF194A"/>
    <w:rsid w:val="00DF4C22"/>
    <w:rsid w:val="00E006CC"/>
    <w:rsid w:val="00E14965"/>
    <w:rsid w:val="00E2242B"/>
    <w:rsid w:val="00E36145"/>
    <w:rsid w:val="00E90F3E"/>
    <w:rsid w:val="00E92956"/>
    <w:rsid w:val="00E96ABD"/>
    <w:rsid w:val="00EC049B"/>
    <w:rsid w:val="00F01878"/>
    <w:rsid w:val="00F12612"/>
    <w:rsid w:val="00F13F9A"/>
    <w:rsid w:val="00F26879"/>
    <w:rsid w:val="00F626F7"/>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F37E7782-8A5F-450E-8D4A-22D86C28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paragraph" w:customStyle="1" w:styleId="Default">
    <w:name w:val="Default"/>
    <w:rsid w:val="00C35156"/>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1971-3C0D-46D0-9839-C2975685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6</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16</cp:revision>
  <cp:lastPrinted>2013-01-23T20:24:00Z</cp:lastPrinted>
  <dcterms:created xsi:type="dcterms:W3CDTF">2013-02-04T21:45:00Z</dcterms:created>
  <dcterms:modified xsi:type="dcterms:W3CDTF">2018-02-14T17:15:00Z</dcterms:modified>
</cp:coreProperties>
</file>