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67" w:rsidRPr="00AD155D" w:rsidRDefault="00B82B67" w:rsidP="00B82B67">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7A5CCE3E" wp14:editId="55610B25">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B82B67" w:rsidRPr="00AD155D" w:rsidRDefault="00B82B67" w:rsidP="00B82B67">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B82B67" w:rsidRPr="008B4511" w:rsidRDefault="00B82B67" w:rsidP="00B82B67">
      <w:pPr>
        <w:tabs>
          <w:tab w:val="center" w:pos="7200"/>
        </w:tabs>
        <w:rPr>
          <w:rFonts w:asciiTheme="minorHAnsi" w:hAnsiTheme="minorHAnsi" w:cs="Arial"/>
          <w:b/>
          <w:sz w:val="18"/>
          <w:szCs w:val="18"/>
        </w:rPr>
      </w:pPr>
    </w:p>
    <w:p w:rsidR="00B82B67" w:rsidRPr="00A963B6" w:rsidRDefault="00B82B67" w:rsidP="00B82B67">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82B67" w:rsidRPr="00A963B6" w:rsidRDefault="00B82B67" w:rsidP="00B82B67">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B82B67" w:rsidRPr="008B4511" w:rsidRDefault="00B82B67" w:rsidP="00B82B67">
      <w:pPr>
        <w:rPr>
          <w:rFonts w:asciiTheme="minorHAnsi" w:hAnsiTheme="minorHAnsi" w:cs="Arial"/>
          <w:b/>
          <w:bCs/>
          <w:sz w:val="18"/>
          <w:szCs w:val="18"/>
        </w:rPr>
      </w:pPr>
    </w:p>
    <w:p w:rsidR="00B82B67" w:rsidRPr="006F7D59" w:rsidRDefault="00B82B67" w:rsidP="00B82B67">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SPECIAL EDUCATION GENERALIST</w:t>
      </w:r>
      <w:r w:rsidRPr="009471A5">
        <w:rPr>
          <w:rFonts w:asciiTheme="minorHAnsi" w:hAnsiTheme="minorHAnsi" w:cs="Arial"/>
          <w:b/>
          <w:bCs/>
          <w:sz w:val="20"/>
          <w:szCs w:val="20"/>
        </w:rPr>
        <w:tab/>
      </w:r>
      <w:r w:rsidRPr="00B82B67">
        <w:rPr>
          <w:rFonts w:asciiTheme="minorHAnsi" w:hAnsiTheme="minorHAnsi" w:cs="Arial"/>
          <w:bCs/>
          <w:sz w:val="20"/>
          <w:szCs w:val="20"/>
          <w:highlight w:val="lightGray"/>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w:t>
      </w:r>
      <w:r>
        <w:rPr>
          <w:rFonts w:asciiTheme="minorHAnsi" w:hAnsiTheme="minorHAnsi" w:cs="Arial"/>
          <w:b/>
          <w:bCs/>
          <w:sz w:val="20"/>
          <w:szCs w:val="20"/>
          <w:u w:val="single"/>
        </w:rPr>
        <w:tab/>
      </w:r>
      <w:r>
        <w:rPr>
          <w:rFonts w:asciiTheme="minorHAnsi" w:hAnsiTheme="minorHAnsi" w:cs="Arial"/>
          <w:b/>
          <w:bCs/>
          <w:sz w:val="20"/>
          <w:szCs w:val="20"/>
        </w:rPr>
        <w:t xml:space="preserve"> K-6 Subject     </w:t>
      </w:r>
      <w:r>
        <w:rPr>
          <w:rFonts w:asciiTheme="minorHAnsi" w:hAnsiTheme="minorHAnsi" w:cs="Arial"/>
          <w:b/>
          <w:bCs/>
          <w:sz w:val="20"/>
          <w:szCs w:val="20"/>
          <w:u w:val="single"/>
        </w:rPr>
        <w:tab/>
      </w:r>
      <w:r>
        <w:rPr>
          <w:rFonts w:asciiTheme="minorHAnsi" w:hAnsiTheme="minorHAnsi" w:cs="Arial"/>
          <w:b/>
          <w:bCs/>
          <w:sz w:val="20"/>
          <w:szCs w:val="20"/>
        </w:rPr>
        <w:t xml:space="preserve"> 7-12 Subject     </w:t>
      </w:r>
      <w:r>
        <w:rPr>
          <w:rFonts w:asciiTheme="minorHAnsi" w:hAnsiTheme="minorHAnsi" w:cs="Arial"/>
          <w:b/>
          <w:bCs/>
          <w:sz w:val="20"/>
          <w:szCs w:val="20"/>
          <w:u w:val="single"/>
        </w:rPr>
        <w:tab/>
      </w:r>
      <w:r w:rsidRPr="006F7D59">
        <w:rPr>
          <w:rFonts w:asciiTheme="minorHAnsi" w:hAnsiTheme="minorHAnsi" w:cs="Arial"/>
          <w:b/>
          <w:bCs/>
          <w:sz w:val="20"/>
          <w:szCs w:val="20"/>
        </w:rPr>
        <w:t xml:space="preserve"> </w:t>
      </w:r>
      <w:r>
        <w:rPr>
          <w:rFonts w:asciiTheme="minorHAnsi" w:hAnsiTheme="minorHAnsi" w:cs="Arial"/>
          <w:b/>
          <w:bCs/>
          <w:sz w:val="20"/>
          <w:szCs w:val="20"/>
        </w:rPr>
        <w:t>K-12 Field</w:t>
      </w:r>
    </w:p>
    <w:p w:rsidR="00B82B67" w:rsidRPr="00B82B67" w:rsidRDefault="00B82B67" w:rsidP="00B82B67">
      <w:pPr>
        <w:tabs>
          <w:tab w:val="left" w:pos="5040"/>
          <w:tab w:val="left" w:pos="8100"/>
          <w:tab w:val="left" w:pos="8640"/>
          <w:tab w:val="left" w:pos="9270"/>
          <w:tab w:val="left" w:pos="11880"/>
          <w:tab w:val="left" w:pos="12870"/>
        </w:tabs>
        <w:rPr>
          <w:rFonts w:asciiTheme="minorHAnsi" w:hAnsiTheme="minorHAnsi" w:cs="Arial"/>
          <w:b/>
          <w:bCs/>
          <w:sz w:val="20"/>
          <w:szCs w:val="20"/>
          <w:u w:val="single"/>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42-Subject or 51-Field</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 or FIELD</w:t>
      </w:r>
    </w:p>
    <w:p w:rsidR="00B82B67" w:rsidRPr="008B4511" w:rsidRDefault="00B82B67" w:rsidP="00B82B67">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B82B67" w:rsidRPr="008B4511" w:rsidTr="00D869AE">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B82B67" w:rsidRPr="00A963B6" w:rsidRDefault="00B82B67" w:rsidP="00D869AE">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B82B67" w:rsidRPr="00A963B6" w:rsidRDefault="00B82B67" w:rsidP="002B151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D869AE">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C6155B" w:rsidRDefault="00B82B67" w:rsidP="00FF14D7">
            <w:pPr>
              <w:tabs>
                <w:tab w:val="left" w:pos="1800"/>
                <w:tab w:val="left" w:pos="4320"/>
              </w:tabs>
              <w:rPr>
                <w:rFonts w:asciiTheme="minorHAnsi" w:hAnsiTheme="minorHAnsi"/>
                <w:b/>
                <w:sz w:val="18"/>
                <w:szCs w:val="18"/>
              </w:rPr>
            </w:pPr>
            <w:r w:rsidRPr="008B4511">
              <w:rPr>
                <w:rFonts w:asciiTheme="minorHAnsi" w:hAnsiTheme="minorHAnsi"/>
                <w:b/>
                <w:sz w:val="18"/>
                <w:szCs w:val="18"/>
                <w:u w:val="single"/>
              </w:rPr>
              <w:t>D</w:t>
            </w:r>
            <w:r w:rsidRPr="008B4511">
              <w:rPr>
                <w:rFonts w:asciiTheme="minorHAnsi" w:hAnsiTheme="minorHAnsi"/>
                <w:b/>
                <w:sz w:val="18"/>
                <w:szCs w:val="18"/>
              </w:rPr>
              <w:t xml:space="preserve"> Certification Endorsement Requ</w:t>
            </w:r>
            <w:bookmarkStart w:id="0" w:name="_GoBack"/>
            <w:bookmarkEnd w:id="0"/>
            <w:r w:rsidRPr="008B4511">
              <w:rPr>
                <w:rFonts w:asciiTheme="minorHAnsi" w:hAnsiTheme="minorHAnsi"/>
                <w:b/>
                <w:sz w:val="18"/>
                <w:szCs w:val="18"/>
              </w:rPr>
              <w:t xml:space="preserve">irements:  </w:t>
            </w:r>
            <w:r w:rsidRPr="008B4511">
              <w:rPr>
                <w:rFonts w:asciiTheme="minorHAnsi" w:hAnsiTheme="minorHAnsi"/>
                <w:sz w:val="18"/>
                <w:szCs w:val="18"/>
              </w:rPr>
              <w:t>This endorsement require</w:t>
            </w:r>
            <w:r w:rsidR="00FF14D7">
              <w:rPr>
                <w:rFonts w:asciiTheme="minorHAnsi" w:hAnsiTheme="minorHAnsi"/>
                <w:sz w:val="18"/>
                <w:szCs w:val="18"/>
              </w:rPr>
              <w:t>s</w:t>
            </w:r>
            <w:r w:rsidRPr="008B4511">
              <w:rPr>
                <w:rFonts w:asciiTheme="minorHAnsi" w:hAnsiTheme="minorHAnsi"/>
                <w:sz w:val="18"/>
                <w:szCs w:val="18"/>
              </w:rPr>
              <w:t xml:space="preserve"> a minimum of </w:t>
            </w:r>
            <w:r>
              <w:rPr>
                <w:rFonts w:asciiTheme="minorHAnsi" w:hAnsiTheme="minorHAnsi"/>
                <w:b/>
                <w:sz w:val="18"/>
                <w:szCs w:val="18"/>
              </w:rPr>
              <w:t>42 or 51</w:t>
            </w:r>
            <w:r w:rsidRPr="008B4511">
              <w:rPr>
                <w:rFonts w:asciiTheme="minorHAnsi" w:hAnsiTheme="minorHAnsi"/>
                <w:b/>
                <w:sz w:val="18"/>
                <w:szCs w:val="18"/>
              </w:rPr>
              <w:t xml:space="preserve"> semester hours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D869AE">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772162" w:rsidRPr="008B4511" w:rsidTr="00D869AE">
        <w:trPr>
          <w:trHeight w:val="144"/>
        </w:trPr>
        <w:tc>
          <w:tcPr>
            <w:tcW w:w="4525" w:type="dxa"/>
            <w:gridSpan w:val="2"/>
            <w:tcBorders>
              <w:top w:val="single" w:sz="4" w:space="0" w:color="auto"/>
            </w:tcBorders>
          </w:tcPr>
          <w:p w:rsidR="00772162" w:rsidRPr="00C6155B" w:rsidRDefault="00C819CA" w:rsidP="00837292">
            <w:pPr>
              <w:rPr>
                <w:rFonts w:asciiTheme="minorHAnsi" w:hAnsiTheme="minorHAnsi" w:cs="Arial"/>
                <w:sz w:val="18"/>
                <w:szCs w:val="18"/>
                <w:lang w:bidi="en-US"/>
              </w:rPr>
            </w:pPr>
            <w:r w:rsidRPr="00C6155B">
              <w:rPr>
                <w:rFonts w:asciiTheme="minorHAnsi" w:hAnsiTheme="minorHAnsi" w:cs="Arial"/>
                <w:sz w:val="18"/>
                <w:szCs w:val="18"/>
                <w:u w:val="single"/>
                <w:lang w:bidi="en-US"/>
              </w:rPr>
              <w:t>D1</w:t>
            </w:r>
            <w:r w:rsidRPr="00C6155B">
              <w:rPr>
                <w:rFonts w:asciiTheme="minorHAnsi" w:hAnsiTheme="minorHAnsi" w:cs="Arial"/>
                <w:sz w:val="18"/>
                <w:szCs w:val="18"/>
                <w:lang w:bidi="en-US"/>
              </w:rPr>
              <w:t xml:space="preserve"> For K-6 or 7-12 (subject), a minimum of </w:t>
            </w:r>
            <w:r w:rsidRPr="006636AD">
              <w:rPr>
                <w:rFonts w:asciiTheme="minorHAnsi" w:hAnsiTheme="minorHAnsi" w:cs="Arial"/>
                <w:b/>
                <w:sz w:val="18"/>
                <w:szCs w:val="18"/>
                <w:lang w:bidi="en-US"/>
              </w:rPr>
              <w:t>42 semester hours</w:t>
            </w:r>
            <w:r w:rsidRPr="00C6155B">
              <w:rPr>
                <w:rFonts w:asciiTheme="minorHAnsi" w:hAnsiTheme="minorHAnsi" w:cs="Arial"/>
                <w:sz w:val="18"/>
                <w:szCs w:val="18"/>
                <w:lang w:bidi="en-US"/>
              </w:rPr>
              <w:t>, of which 30 semester hours must be special education content coursework; or</w:t>
            </w:r>
          </w:p>
        </w:tc>
        <w:tc>
          <w:tcPr>
            <w:tcW w:w="288" w:type="dxa"/>
            <w:vAlign w:val="center"/>
          </w:tcPr>
          <w:p w:rsidR="00772162" w:rsidRPr="008B4511" w:rsidRDefault="00772162" w:rsidP="00B65821">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r>
      <w:tr w:rsidR="00772162" w:rsidRPr="008B4511" w:rsidTr="00D869AE">
        <w:trPr>
          <w:trHeight w:val="144"/>
        </w:trPr>
        <w:tc>
          <w:tcPr>
            <w:tcW w:w="4525" w:type="dxa"/>
            <w:gridSpan w:val="2"/>
            <w:tcBorders>
              <w:top w:val="single" w:sz="4" w:space="0" w:color="auto"/>
              <w:bottom w:val="single" w:sz="4" w:space="0" w:color="auto"/>
            </w:tcBorders>
          </w:tcPr>
          <w:p w:rsidR="00772162" w:rsidRPr="00C6155B" w:rsidRDefault="00C819CA" w:rsidP="00837292">
            <w:pPr>
              <w:rPr>
                <w:rFonts w:asciiTheme="minorHAnsi" w:hAnsiTheme="minorHAnsi" w:cs="Arial"/>
                <w:sz w:val="18"/>
                <w:szCs w:val="18"/>
                <w:lang w:bidi="en-US"/>
              </w:rPr>
            </w:pPr>
            <w:r w:rsidRPr="00C6155B">
              <w:rPr>
                <w:rFonts w:asciiTheme="minorHAnsi" w:hAnsiTheme="minorHAnsi" w:cs="Arial"/>
                <w:sz w:val="18"/>
                <w:szCs w:val="18"/>
                <w:u w:val="single"/>
                <w:lang w:bidi="en-US"/>
              </w:rPr>
              <w:t>D2</w:t>
            </w:r>
            <w:r w:rsidRPr="00C6155B">
              <w:rPr>
                <w:rFonts w:asciiTheme="minorHAnsi" w:hAnsiTheme="minorHAnsi" w:cs="Arial"/>
                <w:sz w:val="18"/>
                <w:szCs w:val="18"/>
                <w:lang w:bidi="en-US"/>
              </w:rPr>
              <w:t xml:space="preserve"> For K-12 (field), a minimum of </w:t>
            </w:r>
            <w:r w:rsidRPr="006636AD">
              <w:rPr>
                <w:rFonts w:asciiTheme="minorHAnsi" w:hAnsiTheme="minorHAnsi" w:cs="Arial"/>
                <w:b/>
                <w:sz w:val="18"/>
                <w:szCs w:val="18"/>
                <w:lang w:bidi="en-US"/>
              </w:rPr>
              <w:t>51 semester hours</w:t>
            </w:r>
            <w:r w:rsidRPr="00C6155B">
              <w:rPr>
                <w:rFonts w:asciiTheme="minorHAnsi" w:hAnsiTheme="minorHAnsi" w:cs="Arial"/>
                <w:sz w:val="18"/>
                <w:szCs w:val="18"/>
                <w:lang w:bidi="en-US"/>
              </w:rPr>
              <w:t xml:space="preserve">, </w:t>
            </w:r>
            <w:r w:rsidR="008616F8" w:rsidRPr="00C6155B">
              <w:rPr>
                <w:rFonts w:asciiTheme="minorHAnsi" w:hAnsiTheme="minorHAnsi" w:cs="Arial"/>
                <w:sz w:val="18"/>
                <w:szCs w:val="18"/>
                <w:lang w:bidi="en-US"/>
              </w:rPr>
              <w:t>of</w:t>
            </w:r>
            <w:r w:rsidRPr="00C6155B">
              <w:rPr>
                <w:rFonts w:asciiTheme="minorHAnsi" w:hAnsiTheme="minorHAnsi" w:cs="Arial"/>
                <w:sz w:val="18"/>
                <w:szCs w:val="18"/>
                <w:lang w:bidi="en-US"/>
              </w:rPr>
              <w:t xml:space="preserve"> which 36 semester hours must be special education content coursework.</w:t>
            </w:r>
          </w:p>
        </w:tc>
        <w:tc>
          <w:tcPr>
            <w:tcW w:w="288" w:type="dxa"/>
            <w:vAlign w:val="center"/>
          </w:tcPr>
          <w:p w:rsidR="00772162" w:rsidRPr="008B4511" w:rsidRDefault="00772162" w:rsidP="00B65821">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c>
          <w:tcPr>
            <w:tcW w:w="288" w:type="dxa"/>
            <w:vAlign w:val="center"/>
          </w:tcPr>
          <w:p w:rsidR="00772162" w:rsidRPr="008B4511" w:rsidRDefault="00772162"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bottom w:val="single" w:sz="4" w:space="0" w:color="auto"/>
            </w:tcBorders>
          </w:tcPr>
          <w:p w:rsidR="00C819CA" w:rsidRPr="00C6155B" w:rsidRDefault="00C819CA" w:rsidP="00D869AE">
            <w:pPr>
              <w:pStyle w:val="ListParagraph"/>
              <w:numPr>
                <w:ilvl w:val="0"/>
                <w:numId w:val="17"/>
              </w:numPr>
              <w:autoSpaceDE w:val="0"/>
              <w:autoSpaceDN w:val="0"/>
              <w:adjustRightInd w:val="0"/>
              <w:rPr>
                <w:rFonts w:ascii="Calibri" w:eastAsia="Calibri" w:hAnsi="Calibri" w:cs="Calibri"/>
                <w:bCs/>
                <w:i/>
                <w:iCs/>
                <w:sz w:val="18"/>
                <w:szCs w:val="18"/>
              </w:rPr>
            </w:pPr>
            <w:r w:rsidRPr="00C6155B">
              <w:rPr>
                <w:rFonts w:ascii="Calibri" w:eastAsia="Calibri" w:hAnsi="Calibri" w:cs="Calibri"/>
                <w:b/>
                <w:bCs/>
                <w:sz w:val="18"/>
                <w:szCs w:val="18"/>
              </w:rPr>
              <w:t xml:space="preserve">Learner Development and Individual Learning Differences </w:t>
            </w:r>
            <w:r w:rsidRPr="00C6155B">
              <w:rPr>
                <w:rFonts w:ascii="Calibri" w:eastAsia="Calibri" w:hAnsi="Calibri" w:cs="Calibri"/>
                <w:bCs/>
                <w:iCs/>
                <w:sz w:val="18"/>
                <w:szCs w:val="18"/>
              </w:rPr>
              <w:t>Special education professionals understand how disabilities can interact with development and learning and use this knowledge to provide meaningful and challenging learning experiences for individuals with disabilities.</w:t>
            </w:r>
            <w:r w:rsidRPr="00C6155B">
              <w:rPr>
                <w:rFonts w:ascii="Calibri" w:eastAsia="Calibri" w:hAnsi="Calibri" w:cs="Calibri"/>
                <w:b/>
                <w:bCs/>
                <w:i/>
                <w:iCs/>
                <w:sz w:val="18"/>
                <w:szCs w:val="18"/>
              </w:rPr>
              <w:t xml:space="preserve">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bottom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bCs/>
                <w:iCs/>
                <w:sz w:val="18"/>
                <w:szCs w:val="18"/>
              </w:rPr>
            </w:pPr>
            <w:r w:rsidRPr="00C6155B">
              <w:rPr>
                <w:rFonts w:ascii="Calibri" w:eastAsia="Calibri" w:hAnsi="Calibri" w:cs="Calibri"/>
                <w:bCs/>
                <w:iCs/>
                <w:sz w:val="18"/>
                <w:szCs w:val="18"/>
              </w:rPr>
              <w:t xml:space="preserve">Special education professionals understand how language, culture, and family background can influence the learning of individuals with disabilities.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bCs/>
                <w:iCs/>
                <w:sz w:val="18"/>
                <w:szCs w:val="18"/>
              </w:rPr>
            </w:pPr>
            <w:r w:rsidRPr="00C6155B">
              <w:rPr>
                <w:rFonts w:ascii="Calibri" w:eastAsia="Calibri" w:hAnsi="Calibri" w:cs="Calibri"/>
                <w:bCs/>
                <w:iCs/>
                <w:sz w:val="18"/>
                <w:szCs w:val="18"/>
              </w:rPr>
              <w:t>Special education professionals use understanding of development and individual differences to respond to the needs of individuals with disabilities.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475D6C">
        <w:trPr>
          <w:trHeight w:val="1605"/>
        </w:trPr>
        <w:tc>
          <w:tcPr>
            <w:tcW w:w="4525" w:type="dxa"/>
            <w:gridSpan w:val="2"/>
            <w:tcBorders>
              <w:top w:val="single" w:sz="4" w:space="0" w:color="auto"/>
            </w:tcBorders>
          </w:tcPr>
          <w:p w:rsidR="00C819CA" w:rsidRPr="00C6155B" w:rsidRDefault="00C819CA" w:rsidP="00D869AE">
            <w:pPr>
              <w:pStyle w:val="ListParagraph"/>
              <w:numPr>
                <w:ilvl w:val="0"/>
                <w:numId w:val="17"/>
              </w:numPr>
              <w:autoSpaceDE w:val="0"/>
              <w:autoSpaceDN w:val="0"/>
              <w:adjustRightInd w:val="0"/>
              <w:rPr>
                <w:rFonts w:ascii="Calibri" w:eastAsia="Calibri" w:hAnsi="Calibri" w:cs="Calibri"/>
                <w:bCs/>
                <w:iCs/>
                <w:sz w:val="18"/>
                <w:szCs w:val="18"/>
              </w:rPr>
            </w:pPr>
            <w:r w:rsidRPr="00C6155B">
              <w:rPr>
                <w:rFonts w:ascii="Calibri" w:eastAsia="Calibri" w:hAnsi="Calibri" w:cs="Calibri"/>
                <w:b/>
                <w:bCs/>
                <w:sz w:val="18"/>
                <w:szCs w:val="18"/>
              </w:rPr>
              <w:t xml:space="preserve">Learning Environments </w:t>
            </w:r>
            <w:r w:rsidRPr="00C6155B">
              <w:rPr>
                <w:rFonts w:ascii="Calibri" w:eastAsia="Calibri" w:hAnsi="Calibri" w:cs="Calibri"/>
                <w:bCs/>
                <w:iCs/>
                <w:sz w:val="18"/>
                <w:szCs w:val="18"/>
              </w:rPr>
              <w:t>Special education professionals create safe, inclusive, culturally responsive learning environments so that individuals with disabilities become active and effective learners and develop emotional well-being, positive social interactions, and self-determination.</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lastRenderedPageBreak/>
              <w:t>Special education professionals, through collaboration with general educators and other colleagues, create safe, inclusive, culturally responsive learning environments to engage individuals with disabilities in meaningful learning activities and social interactions.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use motivational and instructional interventions to teach individuals with disabilities how to adapt to different environments.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know how to intervene safely and appropriately with individuals with disabilities in crisis.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0"/>
                <w:numId w:val="17"/>
              </w:numPr>
              <w:autoSpaceDE w:val="0"/>
              <w:autoSpaceDN w:val="0"/>
              <w:adjustRightInd w:val="0"/>
              <w:rPr>
                <w:rFonts w:ascii="Calibri" w:eastAsia="Calibri" w:hAnsi="Calibri" w:cs="Calibri"/>
                <w:bCs/>
                <w:iCs/>
                <w:sz w:val="18"/>
                <w:szCs w:val="18"/>
              </w:rPr>
            </w:pPr>
            <w:r w:rsidRPr="00C6155B">
              <w:rPr>
                <w:rFonts w:ascii="Calibri" w:eastAsia="Calibri" w:hAnsi="Calibri" w:cs="Calibri"/>
                <w:b/>
                <w:bCs/>
                <w:sz w:val="18"/>
                <w:szCs w:val="18"/>
              </w:rPr>
              <w:t xml:space="preserve">Curricular Content Knowledge </w:t>
            </w:r>
            <w:r w:rsidRPr="00C6155B">
              <w:rPr>
                <w:rFonts w:ascii="Calibri" w:eastAsia="Calibri" w:hAnsi="Calibri" w:cs="Calibri"/>
                <w:bCs/>
                <w:iCs/>
                <w:sz w:val="18"/>
                <w:szCs w:val="18"/>
              </w:rPr>
              <w:t>Special education professionals use knowledge of general and specialized curricula to individualize learning for individuals with disabilities.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understand the central concepts, structures of the discipline, and tools of inquiry of the content areas they teach, and can organize this knowledge, integrate cross-disciplinary skills, and develop meaningful learning progressions for individuals with disabilities.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475D6C">
        <w:trPr>
          <w:trHeight w:val="750"/>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understand and use general and specialized content knowledge for teaching across curricular content areas to individualize learning for individuals with disabilities.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modify general and specialized curricula to make them accessible to individuals with disabilities.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475D6C">
        <w:trPr>
          <w:trHeight w:val="1083"/>
        </w:trPr>
        <w:tc>
          <w:tcPr>
            <w:tcW w:w="4525" w:type="dxa"/>
            <w:gridSpan w:val="2"/>
            <w:tcBorders>
              <w:top w:val="single" w:sz="4" w:space="0" w:color="auto"/>
            </w:tcBorders>
          </w:tcPr>
          <w:p w:rsidR="00C819CA" w:rsidRPr="00C6155B" w:rsidRDefault="00C819CA" w:rsidP="00D869AE">
            <w:pPr>
              <w:pStyle w:val="ListParagraph"/>
              <w:numPr>
                <w:ilvl w:val="0"/>
                <w:numId w:val="17"/>
              </w:numPr>
              <w:autoSpaceDE w:val="0"/>
              <w:autoSpaceDN w:val="0"/>
              <w:adjustRightInd w:val="0"/>
              <w:rPr>
                <w:rFonts w:ascii="Calibri" w:eastAsia="Calibri" w:hAnsi="Calibri" w:cs="Calibri"/>
                <w:sz w:val="18"/>
                <w:szCs w:val="18"/>
              </w:rPr>
            </w:pPr>
            <w:r w:rsidRPr="00C6155B">
              <w:rPr>
                <w:rFonts w:ascii="Calibri" w:eastAsia="Calibri" w:hAnsi="Calibri" w:cs="Calibri"/>
                <w:b/>
                <w:bCs/>
                <w:sz w:val="18"/>
                <w:szCs w:val="18"/>
              </w:rPr>
              <w:t xml:space="preserve">Assessment </w:t>
            </w:r>
            <w:r w:rsidRPr="00C6155B">
              <w:rPr>
                <w:rFonts w:ascii="Calibri" w:eastAsia="Calibri" w:hAnsi="Calibri" w:cs="Calibri"/>
                <w:bCs/>
                <w:iCs/>
                <w:sz w:val="18"/>
                <w:szCs w:val="18"/>
              </w:rPr>
              <w:t xml:space="preserve">Special education professionals use multiple methods of assessment and data-sources in making educational decisions.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lastRenderedPageBreak/>
              <w:t>Special education professionals select and use technically sound formal and informal assessments that minimize bias.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bCs/>
                <w:iCs/>
                <w:sz w:val="18"/>
                <w:szCs w:val="18"/>
              </w:rPr>
            </w:pPr>
            <w:r w:rsidRPr="00C6155B">
              <w:rPr>
                <w:rFonts w:ascii="Calibri" w:eastAsia="Calibri" w:hAnsi="Calibri" w:cs="Calibri"/>
                <w:sz w:val="18"/>
                <w:szCs w:val="18"/>
              </w:rPr>
              <w:t>Special education professionals use knowledge of measurement principles and practices to interpret assessment results and guide educational decisions for individuals with disabilities.</w:t>
            </w:r>
            <w:r w:rsidRPr="00C6155B">
              <w:rPr>
                <w:rFonts w:ascii="Calibri" w:eastAsia="Calibri" w:hAnsi="Calibri" w:cs="Calibri"/>
                <w:bCs/>
                <w:iCs/>
                <w:sz w:val="18"/>
                <w:szCs w:val="18"/>
              </w:rPr>
              <w:tab/>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in collaboration with colleagues and families, use multiple types of assessment information in making decisions about individuals with disabilities.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engage individuals with disabilities to work toward quality learning and performance and provide feedback to guide them.</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0"/>
                <w:numId w:val="17"/>
              </w:numPr>
              <w:autoSpaceDE w:val="0"/>
              <w:autoSpaceDN w:val="0"/>
              <w:adjustRightInd w:val="0"/>
              <w:rPr>
                <w:rFonts w:ascii="Calibri" w:eastAsia="Calibri" w:hAnsi="Calibri" w:cs="Calibri"/>
                <w:bCs/>
                <w:iCs/>
                <w:sz w:val="18"/>
                <w:szCs w:val="18"/>
              </w:rPr>
            </w:pPr>
            <w:r w:rsidRPr="00C6155B">
              <w:rPr>
                <w:rFonts w:ascii="Calibri" w:eastAsia="Calibri" w:hAnsi="Calibri" w:cs="Calibri"/>
                <w:b/>
                <w:bCs/>
                <w:sz w:val="18"/>
                <w:szCs w:val="18"/>
              </w:rPr>
              <w:t xml:space="preserve">Instructional Planning and Strategies </w:t>
            </w:r>
            <w:r w:rsidRPr="00C6155B">
              <w:rPr>
                <w:rFonts w:ascii="Calibri" w:eastAsia="Calibri" w:hAnsi="Calibri" w:cs="Calibri"/>
                <w:bCs/>
                <w:iCs/>
                <w:sz w:val="18"/>
                <w:szCs w:val="18"/>
              </w:rPr>
              <w:t xml:space="preserve">Special education professionals select, adapt, and use a repertoire of evidence-based instructional strategies to advance learning of individuals with disabilities.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consider an individual’s abilities, interests, learning environments, and cultural and linguistic factors in the selection, development, and adaptation of learning experiences for individuals with disabilities.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813"/>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use technologies to support instructional assessment, planning, and delivery for individuals with disabilities.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475D6C">
        <w:trPr>
          <w:trHeight w:val="1497"/>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are familiar with augmentative and alternative communication systems and a variety of assistive technologies to support the communication and learning of individuals with disabilities.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lastRenderedPageBreak/>
              <w:t>Special education professionals use strategies to enhance language development and communication skills of individuals with disabilities.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develop and implement a variety of education and transition plans for individuals with disabilities across a wide range of settings and different learning experiences in collaboration with individuals, families, and teams.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teach to mastery and promote generalization of learning.</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teach cross-disciplinary knowledge and skills such as critical thinking and problem solving to individuals with disabilities.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0"/>
                <w:numId w:val="17"/>
              </w:numPr>
              <w:autoSpaceDE w:val="0"/>
              <w:autoSpaceDN w:val="0"/>
              <w:adjustRightInd w:val="0"/>
              <w:rPr>
                <w:rFonts w:ascii="Calibri" w:eastAsia="Calibri" w:hAnsi="Calibri" w:cs="Calibri"/>
                <w:bCs/>
                <w:iCs/>
                <w:sz w:val="18"/>
                <w:szCs w:val="18"/>
              </w:rPr>
            </w:pPr>
            <w:r w:rsidRPr="00C6155B">
              <w:rPr>
                <w:rFonts w:ascii="Calibri" w:eastAsia="Calibri" w:hAnsi="Calibri" w:cs="Calibri"/>
                <w:b/>
                <w:bCs/>
                <w:sz w:val="18"/>
                <w:szCs w:val="18"/>
              </w:rPr>
              <w:t xml:space="preserve">Professional Learning and Ethical Practice </w:t>
            </w:r>
            <w:r w:rsidRPr="00C6155B">
              <w:rPr>
                <w:rFonts w:ascii="Calibri" w:eastAsia="Calibri" w:hAnsi="Calibri" w:cs="Calibri"/>
                <w:bCs/>
                <w:iCs/>
                <w:sz w:val="18"/>
                <w:szCs w:val="18"/>
              </w:rPr>
              <w:t xml:space="preserve">Special education professionals use foundational knowledge of the field and their professional Ethical Principles and Practice Standards to inform special education practice, to engage in lifelong learning, and to advance the profession.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use professional Ethical Principles and Professional Practice Standards to guide their practice.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475D6C">
        <w:trPr>
          <w:trHeight w:val="300"/>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understand how foundational knowledge and current issues influence professional practice.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understand that diversity is a part of families, cultures, and schools, and that complex human issues can interact with the delivery of special education services.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understand the significance of lifelong learning and participate in professional activities and learning communities.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lastRenderedPageBreak/>
              <w:t>Special education professionals advance the profession by engaging in activities such as advocacy and mentoring.</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provide guidance and direction to paraeducators, tutors, and volunteers.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0"/>
                <w:numId w:val="17"/>
              </w:numPr>
              <w:autoSpaceDE w:val="0"/>
              <w:autoSpaceDN w:val="0"/>
              <w:adjustRightInd w:val="0"/>
              <w:rPr>
                <w:rFonts w:ascii="Calibri" w:eastAsia="Calibri" w:hAnsi="Calibri" w:cs="Calibri"/>
                <w:b/>
                <w:sz w:val="18"/>
                <w:szCs w:val="18"/>
              </w:rPr>
            </w:pPr>
            <w:r w:rsidRPr="00C6155B">
              <w:rPr>
                <w:rFonts w:ascii="Calibri" w:eastAsia="Calibri" w:hAnsi="Calibri" w:cs="Calibri"/>
                <w:b/>
                <w:sz w:val="18"/>
                <w:szCs w:val="18"/>
              </w:rPr>
              <w:t xml:space="preserve">Collaboration </w:t>
            </w:r>
            <w:r w:rsidRPr="00C6155B">
              <w:rPr>
                <w:rFonts w:ascii="Calibri" w:eastAsia="Calibri" w:hAnsi="Calibri" w:cs="Calibri"/>
                <w:bCs/>
                <w:iCs/>
                <w:sz w:val="18"/>
                <w:szCs w:val="18"/>
              </w:rPr>
              <w:t xml:space="preserve">Special education professionals collaborate with families, other educators, related service providers, individuals with disabilities, and personnel from community agencies in culturally responsive ways to address the needs of individuals with disabilities across a range of learning experiences.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use the theory and elements of effective collaboration.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 xml:space="preserve">Special education professionals serve as a collaborative resource to colleagues. </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r w:rsidR="00C819CA" w:rsidRPr="008B4511" w:rsidTr="00D869AE">
        <w:trPr>
          <w:trHeight w:val="144"/>
        </w:trPr>
        <w:tc>
          <w:tcPr>
            <w:tcW w:w="4525" w:type="dxa"/>
            <w:gridSpan w:val="2"/>
            <w:tcBorders>
              <w:top w:val="single" w:sz="4" w:space="0" w:color="auto"/>
            </w:tcBorders>
          </w:tcPr>
          <w:p w:rsidR="00C819CA" w:rsidRPr="00C6155B" w:rsidRDefault="00C819CA" w:rsidP="00D869AE">
            <w:pPr>
              <w:pStyle w:val="ListParagraph"/>
              <w:numPr>
                <w:ilvl w:val="1"/>
                <w:numId w:val="17"/>
              </w:numPr>
              <w:autoSpaceDE w:val="0"/>
              <w:autoSpaceDN w:val="0"/>
              <w:adjustRightInd w:val="0"/>
              <w:rPr>
                <w:rFonts w:ascii="Calibri" w:eastAsia="Calibri" w:hAnsi="Calibri" w:cs="Calibri"/>
                <w:sz w:val="18"/>
                <w:szCs w:val="18"/>
              </w:rPr>
            </w:pPr>
            <w:r w:rsidRPr="00C6155B">
              <w:rPr>
                <w:rFonts w:ascii="Calibri" w:eastAsia="Calibri" w:hAnsi="Calibri" w:cs="Calibri"/>
                <w:sz w:val="18"/>
                <w:szCs w:val="18"/>
              </w:rPr>
              <w:t>Special education professionals use collaboration to promote the well-being of individuals with disabilities across a wide range of settings and collaborators.</w:t>
            </w:r>
          </w:p>
        </w:tc>
        <w:tc>
          <w:tcPr>
            <w:tcW w:w="288" w:type="dxa"/>
            <w:vAlign w:val="center"/>
          </w:tcPr>
          <w:p w:rsidR="00C819CA" w:rsidRPr="008B4511" w:rsidRDefault="00C819CA" w:rsidP="00B65821">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c>
          <w:tcPr>
            <w:tcW w:w="288" w:type="dxa"/>
            <w:vAlign w:val="center"/>
          </w:tcPr>
          <w:p w:rsidR="00C819CA" w:rsidRPr="008B4511" w:rsidRDefault="00C819CA"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B82B67"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Special Education Generalist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837292">
      <w:rPr>
        <w:rStyle w:val="PageNumber"/>
        <w:noProof/>
        <w:sz w:val="14"/>
      </w:rPr>
      <w:t>2</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837292">
      <w:rPr>
        <w:rStyle w:val="PageNumber"/>
        <w:noProof/>
        <w:sz w:val="14"/>
      </w:rPr>
      <w:t>5</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1E0940">
      <w:rPr>
        <w:rStyle w:val="PageNumber"/>
        <w:sz w:val="14"/>
      </w:rPr>
      <w:t>4</w:t>
    </w:r>
    <w:r w:rsidR="00D96163">
      <w:rPr>
        <w:rStyle w:val="PageNumber"/>
        <w:sz w:val="14"/>
      </w:rPr>
      <w:t xml:space="preserve"> </w:t>
    </w:r>
    <w:r w:rsidR="00C34708">
      <w:rPr>
        <w:rStyle w:val="PageNumber"/>
        <w:sz w:val="14"/>
      </w:rPr>
      <w:t>Version</w:t>
    </w:r>
    <w:r w:rsidR="001E0940">
      <w:rPr>
        <w:rStyle w:val="PageNumbe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B04F50"/>
    <w:multiLevelType w:val="multilevel"/>
    <w:tmpl w:val="554805A8"/>
    <w:numStyleLink w:val="StyleFolios"/>
  </w:abstractNum>
  <w:abstractNum w:abstractNumId="16"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9"/>
  </w:num>
  <w:num w:numId="4">
    <w:abstractNumId w:val="13"/>
  </w:num>
  <w:num w:numId="5">
    <w:abstractNumId w:val="14"/>
  </w:num>
  <w:num w:numId="6">
    <w:abstractNumId w:val="1"/>
  </w:num>
  <w:num w:numId="7">
    <w:abstractNumId w:val="6"/>
  </w:num>
  <w:num w:numId="8">
    <w:abstractNumId w:val="16"/>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195F6A"/>
    <w:rsid w:val="001C5102"/>
    <w:rsid w:val="001D3637"/>
    <w:rsid w:val="001D6BBC"/>
    <w:rsid w:val="001E0940"/>
    <w:rsid w:val="001E7929"/>
    <w:rsid w:val="002154CB"/>
    <w:rsid w:val="00215D90"/>
    <w:rsid w:val="00251B76"/>
    <w:rsid w:val="00285946"/>
    <w:rsid w:val="00295EB5"/>
    <w:rsid w:val="002F6567"/>
    <w:rsid w:val="0030040B"/>
    <w:rsid w:val="0030595C"/>
    <w:rsid w:val="00317E27"/>
    <w:rsid w:val="003469C5"/>
    <w:rsid w:val="003B1AFD"/>
    <w:rsid w:val="003C2DEA"/>
    <w:rsid w:val="003E6EDC"/>
    <w:rsid w:val="003F0678"/>
    <w:rsid w:val="003F08A5"/>
    <w:rsid w:val="003F277A"/>
    <w:rsid w:val="00410376"/>
    <w:rsid w:val="00436289"/>
    <w:rsid w:val="00475D6C"/>
    <w:rsid w:val="00507419"/>
    <w:rsid w:val="005207B2"/>
    <w:rsid w:val="0059700F"/>
    <w:rsid w:val="005F1910"/>
    <w:rsid w:val="00602B95"/>
    <w:rsid w:val="00631A72"/>
    <w:rsid w:val="0064745F"/>
    <w:rsid w:val="006636AD"/>
    <w:rsid w:val="00681112"/>
    <w:rsid w:val="00690324"/>
    <w:rsid w:val="006947AF"/>
    <w:rsid w:val="006B523A"/>
    <w:rsid w:val="006D5AEE"/>
    <w:rsid w:val="006D76F6"/>
    <w:rsid w:val="00701084"/>
    <w:rsid w:val="00710484"/>
    <w:rsid w:val="007653EF"/>
    <w:rsid w:val="00772162"/>
    <w:rsid w:val="00787AA1"/>
    <w:rsid w:val="007E70C2"/>
    <w:rsid w:val="00837292"/>
    <w:rsid w:val="008500BE"/>
    <w:rsid w:val="008616F8"/>
    <w:rsid w:val="00861C4B"/>
    <w:rsid w:val="008656D9"/>
    <w:rsid w:val="00871E91"/>
    <w:rsid w:val="008B4511"/>
    <w:rsid w:val="008B6E6D"/>
    <w:rsid w:val="008D2A03"/>
    <w:rsid w:val="008D3C6F"/>
    <w:rsid w:val="008F58CC"/>
    <w:rsid w:val="00961B50"/>
    <w:rsid w:val="00964732"/>
    <w:rsid w:val="00985ADB"/>
    <w:rsid w:val="0099008B"/>
    <w:rsid w:val="009B38DD"/>
    <w:rsid w:val="009F4AB6"/>
    <w:rsid w:val="009F6B24"/>
    <w:rsid w:val="00A43816"/>
    <w:rsid w:val="00A75F31"/>
    <w:rsid w:val="00A7766F"/>
    <w:rsid w:val="00AE6AD8"/>
    <w:rsid w:val="00B14684"/>
    <w:rsid w:val="00B64236"/>
    <w:rsid w:val="00B65821"/>
    <w:rsid w:val="00B6793B"/>
    <w:rsid w:val="00B82B67"/>
    <w:rsid w:val="00B86BD1"/>
    <w:rsid w:val="00B94DA6"/>
    <w:rsid w:val="00BB788D"/>
    <w:rsid w:val="00BD6AE4"/>
    <w:rsid w:val="00BF5138"/>
    <w:rsid w:val="00BF5EE2"/>
    <w:rsid w:val="00C34708"/>
    <w:rsid w:val="00C56F19"/>
    <w:rsid w:val="00C6155B"/>
    <w:rsid w:val="00C81027"/>
    <w:rsid w:val="00C819CA"/>
    <w:rsid w:val="00C9241D"/>
    <w:rsid w:val="00CB29E7"/>
    <w:rsid w:val="00D0281E"/>
    <w:rsid w:val="00D06414"/>
    <w:rsid w:val="00D84678"/>
    <w:rsid w:val="00D869AE"/>
    <w:rsid w:val="00D96163"/>
    <w:rsid w:val="00DA4F6F"/>
    <w:rsid w:val="00DA60F8"/>
    <w:rsid w:val="00DD5578"/>
    <w:rsid w:val="00DD72B6"/>
    <w:rsid w:val="00DF194A"/>
    <w:rsid w:val="00DF4C22"/>
    <w:rsid w:val="00E05106"/>
    <w:rsid w:val="00E14965"/>
    <w:rsid w:val="00E2242B"/>
    <w:rsid w:val="00E36145"/>
    <w:rsid w:val="00E45F4E"/>
    <w:rsid w:val="00E90F3E"/>
    <w:rsid w:val="00E92956"/>
    <w:rsid w:val="00E96ABD"/>
    <w:rsid w:val="00EC049B"/>
    <w:rsid w:val="00F01878"/>
    <w:rsid w:val="00F12612"/>
    <w:rsid w:val="00F13F9A"/>
    <w:rsid w:val="00F626F7"/>
    <w:rsid w:val="00F95529"/>
    <w:rsid w:val="00FA03F7"/>
    <w:rsid w:val="00FD6C6B"/>
    <w:rsid w:val="00F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7CD8BF0-98BF-4D2C-89F7-24F5005B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BD8F-0F6D-43E2-8707-E65FD115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20</TotalTime>
  <Pages>5</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19</cp:revision>
  <cp:lastPrinted>2013-01-23T20:24:00Z</cp:lastPrinted>
  <dcterms:created xsi:type="dcterms:W3CDTF">2013-10-09T21:03:00Z</dcterms:created>
  <dcterms:modified xsi:type="dcterms:W3CDTF">2018-02-14T17:13:00Z</dcterms:modified>
</cp:coreProperties>
</file>